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50"/>
        <w:tblW w:w="5000" w:type="pct"/>
        <w:tblLook w:val="04A0" w:firstRow="1" w:lastRow="0" w:firstColumn="1" w:lastColumn="0" w:noHBand="0" w:noVBand="1"/>
      </w:tblPr>
      <w:tblGrid>
        <w:gridCol w:w="1517"/>
        <w:gridCol w:w="8939"/>
      </w:tblGrid>
      <w:tr w:rsidR="009D5199" w:rsidRPr="00A92783" w:rsidTr="00667018">
        <w:trPr>
          <w:trHeight w:val="557"/>
        </w:trPr>
        <w:tc>
          <w:tcPr>
            <w:tcW w:w="5000" w:type="pct"/>
            <w:gridSpan w:val="2"/>
            <w:shd w:val="clear" w:color="auto" w:fill="FFFFFF" w:themeFill="background1"/>
          </w:tcPr>
          <w:p w:rsidR="009D5199" w:rsidRPr="005616FF" w:rsidRDefault="009D5199" w:rsidP="000078DA">
            <w:pPr>
              <w:ind w:right="574"/>
              <w:jc w:val="center"/>
              <w:rPr>
                <w:rFonts w:ascii="Arial" w:hAnsi="Arial" w:cs="Arial"/>
                <w:b/>
                <w:sz w:val="18"/>
                <w:szCs w:val="18"/>
                <w:lang w:val="de-DE"/>
              </w:rPr>
            </w:pPr>
            <w:bookmarkStart w:id="0" w:name="_GoBack"/>
            <w:bookmarkEnd w:id="0"/>
            <w:r w:rsidRPr="005616FF">
              <w:rPr>
                <w:rFonts w:ascii="Arial" w:hAnsi="Arial" w:cs="Arial"/>
                <w:b/>
                <w:color w:val="00703C"/>
                <w:sz w:val="28"/>
                <w:szCs w:val="18"/>
                <w:lang w:val="de-DE"/>
              </w:rPr>
              <w:t xml:space="preserve">OPĆE INFORMACIJE O </w:t>
            </w:r>
            <w:r w:rsidR="00D43E23">
              <w:rPr>
                <w:rFonts w:ascii="Arial" w:hAnsi="Arial" w:cs="Arial"/>
                <w:b/>
                <w:color w:val="00703C"/>
                <w:sz w:val="28"/>
                <w:szCs w:val="18"/>
                <w:lang w:val="de-DE"/>
              </w:rPr>
              <w:t>NENAMJENSKOM</w:t>
            </w:r>
            <w:r w:rsidR="000078DA">
              <w:rPr>
                <w:rFonts w:ascii="Arial" w:hAnsi="Arial" w:cs="Arial"/>
                <w:b/>
                <w:color w:val="00703C"/>
                <w:sz w:val="28"/>
                <w:szCs w:val="18"/>
                <w:lang w:val="de-DE"/>
              </w:rPr>
              <w:t xml:space="preserve"> KREDITU</w:t>
            </w:r>
          </w:p>
        </w:tc>
      </w:tr>
      <w:tr w:rsidR="00AB1B0D" w:rsidRPr="00345D91" w:rsidTr="00667018">
        <w:trPr>
          <w:trHeight w:val="134"/>
        </w:trPr>
        <w:tc>
          <w:tcPr>
            <w:tcW w:w="5000" w:type="pct"/>
            <w:gridSpan w:val="2"/>
            <w:shd w:val="clear" w:color="auto" w:fill="00703C"/>
          </w:tcPr>
          <w:p w:rsidR="00AB1B0D" w:rsidRPr="00517506" w:rsidRDefault="0063730A" w:rsidP="00F846FC">
            <w:pPr>
              <w:rPr>
                <w:rFonts w:ascii="Arial" w:hAnsi="Arial" w:cs="Arial"/>
                <w:b/>
                <w:sz w:val="18"/>
                <w:szCs w:val="18"/>
              </w:rPr>
            </w:pPr>
            <w:r w:rsidRPr="005616FF">
              <w:rPr>
                <w:rFonts w:ascii="Arial" w:hAnsi="Arial" w:cs="Arial"/>
                <w:b/>
                <w:color w:val="FFFFFF" w:themeColor="background1"/>
                <w:sz w:val="18"/>
                <w:szCs w:val="18"/>
              </w:rPr>
              <w:t>Informacije o kreditnoj instituciji</w:t>
            </w:r>
          </w:p>
        </w:tc>
      </w:tr>
      <w:tr w:rsidR="00517506" w:rsidRPr="00345D91" w:rsidTr="00667018">
        <w:trPr>
          <w:trHeight w:val="67"/>
        </w:trPr>
        <w:tc>
          <w:tcPr>
            <w:tcW w:w="5000" w:type="pct"/>
            <w:gridSpan w:val="2"/>
            <w:tcBorders>
              <w:bottom w:val="single" w:sz="4" w:space="0" w:color="auto"/>
            </w:tcBorders>
          </w:tcPr>
          <w:p w:rsidR="00517506" w:rsidRPr="005616FF" w:rsidRDefault="00517506" w:rsidP="00F846FC">
            <w:pPr>
              <w:rPr>
                <w:rFonts w:ascii="Arial" w:hAnsi="Arial" w:cs="Arial"/>
                <w:sz w:val="18"/>
                <w:szCs w:val="18"/>
                <w:lang w:val="de-DE"/>
              </w:rPr>
            </w:pPr>
            <w:r w:rsidRPr="005616FF">
              <w:rPr>
                <w:rFonts w:ascii="Arial" w:hAnsi="Arial" w:cs="Arial"/>
                <w:sz w:val="18"/>
                <w:szCs w:val="18"/>
                <w:lang w:val="de-DE"/>
              </w:rPr>
              <w:t>Kreditna institucija: Sberbank d.d.</w:t>
            </w:r>
          </w:p>
          <w:p w:rsidR="00517506" w:rsidRPr="005616FF" w:rsidRDefault="00517506" w:rsidP="00F846FC">
            <w:pPr>
              <w:rPr>
                <w:rFonts w:ascii="Arial" w:hAnsi="Arial" w:cs="Arial"/>
                <w:sz w:val="18"/>
                <w:szCs w:val="18"/>
                <w:lang w:val="de-DE"/>
              </w:rPr>
            </w:pPr>
            <w:r w:rsidRPr="005616FF">
              <w:rPr>
                <w:rFonts w:ascii="Arial" w:hAnsi="Arial" w:cs="Arial"/>
                <w:sz w:val="18"/>
                <w:szCs w:val="18"/>
                <w:lang w:val="de-DE"/>
              </w:rPr>
              <w:t xml:space="preserve">Adresa: </w:t>
            </w:r>
            <w:r w:rsidRPr="005616FF">
              <w:rPr>
                <w:rFonts w:ascii="Arial" w:hAnsi="Arial" w:cs="Arial"/>
                <w:sz w:val="18"/>
                <w:szCs w:val="18"/>
                <w:lang w:val="de-DE"/>
              </w:rPr>
              <w:tab/>
              <w:t>Varšavska 9, 10000 Zagreb</w:t>
            </w:r>
          </w:p>
          <w:p w:rsidR="00517506" w:rsidRPr="005616FF" w:rsidRDefault="00517506" w:rsidP="00F846FC">
            <w:pPr>
              <w:rPr>
                <w:rFonts w:ascii="Arial" w:hAnsi="Arial" w:cs="Arial"/>
                <w:sz w:val="18"/>
                <w:szCs w:val="18"/>
                <w:lang w:val="de-DE"/>
              </w:rPr>
            </w:pPr>
            <w:r w:rsidRPr="005616FF">
              <w:rPr>
                <w:rFonts w:ascii="Arial" w:hAnsi="Arial" w:cs="Arial"/>
                <w:sz w:val="18"/>
                <w:szCs w:val="18"/>
                <w:lang w:val="de-DE"/>
              </w:rPr>
              <w:t>Broj telefona: 0800 0600</w:t>
            </w:r>
          </w:p>
          <w:p w:rsidR="00517506" w:rsidRPr="005616FF" w:rsidRDefault="00517506" w:rsidP="00F846FC">
            <w:pPr>
              <w:rPr>
                <w:rFonts w:ascii="Arial" w:hAnsi="Arial" w:cs="Arial"/>
                <w:sz w:val="18"/>
                <w:szCs w:val="18"/>
                <w:lang w:val="de-DE"/>
              </w:rPr>
            </w:pPr>
            <w:r w:rsidRPr="005616FF">
              <w:rPr>
                <w:rFonts w:ascii="Arial" w:hAnsi="Arial" w:cs="Arial"/>
                <w:sz w:val="18"/>
                <w:szCs w:val="18"/>
                <w:lang w:val="de-DE"/>
              </w:rPr>
              <w:t>Broj telefaksa: 01 4801 365</w:t>
            </w:r>
          </w:p>
          <w:p w:rsidR="00517506" w:rsidRPr="005616FF" w:rsidRDefault="00517506" w:rsidP="00F846FC">
            <w:pPr>
              <w:rPr>
                <w:rFonts w:ascii="Arial" w:hAnsi="Arial" w:cs="Arial"/>
                <w:sz w:val="18"/>
                <w:szCs w:val="18"/>
                <w:lang w:val="de-DE"/>
              </w:rPr>
            </w:pPr>
            <w:r w:rsidRPr="005616FF">
              <w:rPr>
                <w:rFonts w:ascii="Arial" w:hAnsi="Arial" w:cs="Arial"/>
                <w:sz w:val="18"/>
                <w:szCs w:val="18"/>
                <w:lang w:val="de-DE"/>
              </w:rPr>
              <w:t>Elektronička adresa: info@sberbank.hr</w:t>
            </w:r>
          </w:p>
          <w:p w:rsidR="009D5199" w:rsidRPr="00345D91" w:rsidRDefault="00517506" w:rsidP="005E77DF">
            <w:pPr>
              <w:rPr>
                <w:rFonts w:ascii="Arial" w:hAnsi="Arial" w:cs="Arial"/>
                <w:sz w:val="18"/>
                <w:szCs w:val="18"/>
              </w:rPr>
            </w:pPr>
            <w:r w:rsidRPr="00517506">
              <w:rPr>
                <w:rFonts w:ascii="Arial" w:hAnsi="Arial" w:cs="Arial"/>
                <w:sz w:val="18"/>
                <w:szCs w:val="18"/>
              </w:rPr>
              <w:t>Internet adresa</w:t>
            </w:r>
            <w:r>
              <w:rPr>
                <w:rFonts w:ascii="Arial" w:hAnsi="Arial" w:cs="Arial"/>
                <w:sz w:val="18"/>
                <w:szCs w:val="18"/>
              </w:rPr>
              <w:t xml:space="preserve">: </w:t>
            </w:r>
            <w:hyperlink r:id="rId8" w:history="1">
              <w:r w:rsidRPr="009379F6">
                <w:rPr>
                  <w:rStyle w:val="Hyperlink"/>
                  <w:rFonts w:ascii="Arial" w:hAnsi="Arial" w:cs="Arial"/>
                  <w:sz w:val="18"/>
                  <w:szCs w:val="18"/>
                </w:rPr>
                <w:t>www.sberbank.hr</w:t>
              </w:r>
            </w:hyperlink>
          </w:p>
        </w:tc>
      </w:tr>
      <w:tr w:rsidR="00AB1B0D" w:rsidRPr="00345D91" w:rsidTr="00667018">
        <w:trPr>
          <w:trHeight w:val="67"/>
        </w:trPr>
        <w:tc>
          <w:tcPr>
            <w:tcW w:w="5000" w:type="pct"/>
            <w:gridSpan w:val="2"/>
            <w:shd w:val="clear" w:color="auto" w:fill="00703C"/>
          </w:tcPr>
          <w:p w:rsidR="00AB1B0D" w:rsidRPr="00517506" w:rsidRDefault="0063730A" w:rsidP="00F846FC">
            <w:pPr>
              <w:rPr>
                <w:rFonts w:ascii="Arial" w:hAnsi="Arial" w:cs="Arial"/>
                <w:b/>
                <w:sz w:val="18"/>
                <w:szCs w:val="18"/>
              </w:rPr>
            </w:pPr>
            <w:r w:rsidRPr="005616FF">
              <w:rPr>
                <w:rFonts w:ascii="Arial" w:hAnsi="Arial" w:cs="Arial"/>
                <w:b/>
                <w:color w:val="FFFFFF" w:themeColor="background1"/>
                <w:sz w:val="18"/>
                <w:szCs w:val="18"/>
              </w:rPr>
              <w:t>Glavne značajke proizvoda</w:t>
            </w:r>
            <w:r w:rsidRPr="00517506">
              <w:rPr>
                <w:rFonts w:ascii="Arial" w:hAnsi="Arial" w:cs="Arial"/>
                <w:b/>
                <w:sz w:val="18"/>
                <w:szCs w:val="18"/>
              </w:rPr>
              <w:tab/>
            </w:r>
          </w:p>
        </w:tc>
      </w:tr>
      <w:tr w:rsidR="00AB1B0D" w:rsidRPr="00345D91" w:rsidTr="00A92783">
        <w:trPr>
          <w:trHeight w:val="67"/>
        </w:trPr>
        <w:tc>
          <w:tcPr>
            <w:tcW w:w="725" w:type="pct"/>
          </w:tcPr>
          <w:p w:rsidR="00AB1B0D" w:rsidRPr="00B4345C" w:rsidRDefault="0063730A" w:rsidP="00F846FC">
            <w:pPr>
              <w:rPr>
                <w:rFonts w:ascii="Arial" w:hAnsi="Arial" w:cs="Arial"/>
                <w:b/>
                <w:sz w:val="18"/>
                <w:szCs w:val="18"/>
                <w:lang w:val="it-IT"/>
              </w:rPr>
            </w:pPr>
            <w:r w:rsidRPr="00B4345C">
              <w:rPr>
                <w:rFonts w:ascii="Arial" w:hAnsi="Arial" w:cs="Arial"/>
                <w:b/>
                <w:sz w:val="18"/>
                <w:szCs w:val="18"/>
                <w:lang w:val="it-IT"/>
              </w:rPr>
              <w:t>Vrsta kredita</w:t>
            </w:r>
            <w:r w:rsidR="003911A3" w:rsidRPr="00B4345C">
              <w:rPr>
                <w:rFonts w:ascii="Arial" w:hAnsi="Arial" w:cs="Arial"/>
                <w:b/>
                <w:sz w:val="18"/>
                <w:szCs w:val="18"/>
                <w:lang w:val="it-IT"/>
              </w:rPr>
              <w:t xml:space="preserve"> i namjena kredita</w:t>
            </w:r>
          </w:p>
        </w:tc>
        <w:tc>
          <w:tcPr>
            <w:tcW w:w="4275" w:type="pct"/>
          </w:tcPr>
          <w:p w:rsidR="009D5199" w:rsidRPr="00345D91" w:rsidRDefault="00867DA2" w:rsidP="005E77DF">
            <w:pPr>
              <w:rPr>
                <w:rFonts w:ascii="Arial" w:hAnsi="Arial" w:cs="Arial"/>
                <w:sz w:val="18"/>
                <w:szCs w:val="18"/>
              </w:rPr>
            </w:pPr>
            <w:r>
              <w:rPr>
                <w:rFonts w:ascii="Arial" w:hAnsi="Arial" w:cs="Arial"/>
                <w:b/>
                <w:sz w:val="18"/>
                <w:szCs w:val="18"/>
              </w:rPr>
              <w:t>Nenamjenski</w:t>
            </w:r>
            <w:r w:rsidR="00AD2C5B" w:rsidRPr="005616FF">
              <w:rPr>
                <w:rFonts w:ascii="Arial" w:hAnsi="Arial" w:cs="Arial"/>
                <w:b/>
                <w:sz w:val="18"/>
                <w:szCs w:val="18"/>
              </w:rPr>
              <w:t xml:space="preserve"> kredit</w:t>
            </w:r>
          </w:p>
        </w:tc>
      </w:tr>
      <w:tr w:rsidR="00E3528F" w:rsidRPr="00345D91" w:rsidTr="00A92783">
        <w:trPr>
          <w:trHeight w:val="830"/>
        </w:trPr>
        <w:tc>
          <w:tcPr>
            <w:tcW w:w="725" w:type="pct"/>
          </w:tcPr>
          <w:p w:rsidR="0063730A" w:rsidRPr="00517506" w:rsidRDefault="0063730A" w:rsidP="00F846FC">
            <w:pPr>
              <w:rPr>
                <w:rFonts w:ascii="Arial" w:hAnsi="Arial" w:cs="Arial"/>
                <w:b/>
                <w:sz w:val="18"/>
                <w:szCs w:val="18"/>
              </w:rPr>
            </w:pPr>
            <w:r w:rsidRPr="00517506">
              <w:rPr>
                <w:rFonts w:ascii="Arial" w:hAnsi="Arial" w:cs="Arial"/>
                <w:b/>
                <w:sz w:val="18"/>
                <w:szCs w:val="18"/>
              </w:rPr>
              <w:t xml:space="preserve">Iznos </w:t>
            </w:r>
          </w:p>
          <w:p w:rsidR="00E3528F" w:rsidRPr="00517506" w:rsidRDefault="00E3528F" w:rsidP="00F846FC">
            <w:pPr>
              <w:rPr>
                <w:rFonts w:ascii="Arial" w:hAnsi="Arial" w:cs="Arial"/>
                <w:b/>
                <w:sz w:val="18"/>
                <w:szCs w:val="18"/>
              </w:rPr>
            </w:pPr>
          </w:p>
        </w:tc>
        <w:tc>
          <w:tcPr>
            <w:tcW w:w="4275" w:type="pct"/>
          </w:tcPr>
          <w:p w:rsidR="0063730A" w:rsidRPr="0063730A" w:rsidRDefault="0063730A" w:rsidP="00F846FC">
            <w:pPr>
              <w:rPr>
                <w:rFonts w:ascii="Arial" w:hAnsi="Arial" w:cs="Arial"/>
                <w:sz w:val="18"/>
                <w:szCs w:val="18"/>
              </w:rPr>
            </w:pPr>
            <w:r w:rsidRPr="0063730A">
              <w:rPr>
                <w:rFonts w:ascii="Arial" w:hAnsi="Arial" w:cs="Arial"/>
                <w:sz w:val="18"/>
                <w:szCs w:val="18"/>
              </w:rPr>
              <w:t>Od 7</w:t>
            </w:r>
            <w:r w:rsidR="00C70BF3">
              <w:rPr>
                <w:rFonts w:ascii="Arial" w:hAnsi="Arial" w:cs="Arial"/>
                <w:sz w:val="18"/>
                <w:szCs w:val="18"/>
              </w:rPr>
              <w:t>.5</w:t>
            </w:r>
            <w:r w:rsidR="0021261F">
              <w:rPr>
                <w:rFonts w:ascii="Arial" w:hAnsi="Arial" w:cs="Arial"/>
                <w:sz w:val="18"/>
                <w:szCs w:val="18"/>
              </w:rPr>
              <w:t>00 do 300</w:t>
            </w:r>
            <w:r w:rsidRPr="0063730A">
              <w:rPr>
                <w:rFonts w:ascii="Arial" w:hAnsi="Arial" w:cs="Arial"/>
                <w:sz w:val="18"/>
                <w:szCs w:val="18"/>
              </w:rPr>
              <w:t>.000 HRK</w:t>
            </w:r>
          </w:p>
          <w:p w:rsidR="0021261F" w:rsidRPr="00CF1E94" w:rsidRDefault="0021261F" w:rsidP="00CF1E94">
            <w:pPr>
              <w:rPr>
                <w:rFonts w:ascii="Arial" w:hAnsi="Arial" w:cs="Arial"/>
                <w:sz w:val="18"/>
                <w:szCs w:val="18"/>
              </w:rPr>
            </w:pPr>
            <w:r>
              <w:rPr>
                <w:rFonts w:ascii="Arial" w:hAnsi="Arial" w:cs="Arial"/>
                <w:sz w:val="18"/>
                <w:szCs w:val="18"/>
              </w:rPr>
              <w:t>Od 1.000 do 40</w:t>
            </w:r>
            <w:r w:rsidR="0063730A" w:rsidRPr="0063730A">
              <w:rPr>
                <w:rFonts w:ascii="Arial" w:hAnsi="Arial" w:cs="Arial"/>
                <w:sz w:val="18"/>
                <w:szCs w:val="18"/>
              </w:rPr>
              <w:t>.000 EUR, kunska protuvrijednost po srednjem tečaju HNB za devize</w:t>
            </w:r>
          </w:p>
          <w:p w:rsidR="0021261F" w:rsidRPr="00345D91" w:rsidRDefault="002F6B0A" w:rsidP="002F6B0A">
            <w:pPr>
              <w:pStyle w:val="04BULLETS"/>
              <w:ind w:left="0" w:firstLine="0"/>
              <w:rPr>
                <w:lang w:eastAsia="hr-HR"/>
              </w:rPr>
            </w:pPr>
            <w:r>
              <w:rPr>
                <w:lang w:eastAsia="hr-HR"/>
              </w:rPr>
              <w:t>Maksimalni iznos kredita utvrđuje se u skladu s procjenom kreditnog rizika korisnika kredita za banku</w:t>
            </w:r>
          </w:p>
        </w:tc>
      </w:tr>
      <w:tr w:rsidR="00E3528F" w:rsidRPr="00A92783" w:rsidTr="00A92783">
        <w:trPr>
          <w:trHeight w:val="155"/>
        </w:trPr>
        <w:tc>
          <w:tcPr>
            <w:tcW w:w="725" w:type="pct"/>
          </w:tcPr>
          <w:p w:rsidR="00E3528F" w:rsidRPr="00517506" w:rsidRDefault="0063730A" w:rsidP="00F846FC">
            <w:pPr>
              <w:rPr>
                <w:rFonts w:ascii="Arial" w:hAnsi="Arial" w:cs="Arial"/>
                <w:b/>
                <w:sz w:val="18"/>
                <w:szCs w:val="18"/>
              </w:rPr>
            </w:pPr>
            <w:r w:rsidRPr="00517506">
              <w:rPr>
                <w:rFonts w:ascii="Arial" w:hAnsi="Arial" w:cs="Arial"/>
                <w:b/>
                <w:sz w:val="18"/>
                <w:szCs w:val="18"/>
              </w:rPr>
              <w:t>Valuta</w:t>
            </w:r>
          </w:p>
        </w:tc>
        <w:tc>
          <w:tcPr>
            <w:tcW w:w="4275" w:type="pct"/>
          </w:tcPr>
          <w:p w:rsidR="00F97126" w:rsidRDefault="0063730A" w:rsidP="00F846FC">
            <w:pPr>
              <w:rPr>
                <w:rFonts w:ascii="Arial" w:hAnsi="Arial" w:cs="Arial"/>
                <w:sz w:val="18"/>
                <w:szCs w:val="18"/>
                <w:lang w:val="it-IT"/>
              </w:rPr>
            </w:pPr>
            <w:r w:rsidRPr="00B4345C">
              <w:rPr>
                <w:rFonts w:ascii="Arial" w:hAnsi="Arial" w:cs="Arial"/>
                <w:sz w:val="18"/>
                <w:szCs w:val="18"/>
                <w:lang w:val="it-IT"/>
              </w:rPr>
              <w:t>Krediti se plasiraju u kunama i s valutnom klauzulom u EUR</w:t>
            </w:r>
          </w:p>
          <w:p w:rsidR="00417950" w:rsidRPr="00B4345C" w:rsidRDefault="00417950" w:rsidP="00F846FC">
            <w:pPr>
              <w:rPr>
                <w:rFonts w:ascii="Arial" w:hAnsi="Arial" w:cs="Arial"/>
                <w:sz w:val="18"/>
                <w:szCs w:val="18"/>
                <w:lang w:val="it-IT"/>
              </w:rPr>
            </w:pPr>
          </w:p>
        </w:tc>
      </w:tr>
      <w:tr w:rsidR="00E3528F" w:rsidRPr="00345D91" w:rsidTr="001721E9">
        <w:trPr>
          <w:trHeight w:val="295"/>
        </w:trPr>
        <w:tc>
          <w:tcPr>
            <w:tcW w:w="725" w:type="pct"/>
          </w:tcPr>
          <w:p w:rsidR="0063730A" w:rsidRPr="00517506" w:rsidRDefault="0063730A" w:rsidP="00F846FC">
            <w:pPr>
              <w:rPr>
                <w:rFonts w:ascii="Arial" w:hAnsi="Arial" w:cs="Arial"/>
                <w:b/>
                <w:sz w:val="18"/>
                <w:szCs w:val="18"/>
              </w:rPr>
            </w:pPr>
            <w:r w:rsidRPr="00517506">
              <w:rPr>
                <w:rFonts w:ascii="Arial" w:hAnsi="Arial" w:cs="Arial"/>
                <w:b/>
                <w:sz w:val="18"/>
                <w:szCs w:val="18"/>
              </w:rPr>
              <w:t>Rok otplate</w:t>
            </w:r>
          </w:p>
          <w:p w:rsidR="0063730A" w:rsidRPr="00517506" w:rsidRDefault="0063730A" w:rsidP="00F846FC">
            <w:pPr>
              <w:rPr>
                <w:rFonts w:ascii="Arial" w:hAnsi="Arial" w:cs="Arial"/>
                <w:b/>
                <w:sz w:val="18"/>
                <w:szCs w:val="18"/>
              </w:rPr>
            </w:pPr>
          </w:p>
          <w:p w:rsidR="00E3528F" w:rsidRPr="00517506" w:rsidRDefault="00E3528F" w:rsidP="00F846FC">
            <w:pPr>
              <w:rPr>
                <w:rFonts w:ascii="Arial" w:hAnsi="Arial" w:cs="Arial"/>
                <w:b/>
                <w:sz w:val="18"/>
                <w:szCs w:val="18"/>
              </w:rPr>
            </w:pPr>
          </w:p>
        </w:tc>
        <w:tc>
          <w:tcPr>
            <w:tcW w:w="4275" w:type="pct"/>
          </w:tcPr>
          <w:p w:rsidR="001721E9" w:rsidRPr="00CF1E94" w:rsidRDefault="006305BA" w:rsidP="00CF1E94">
            <w:pPr>
              <w:rPr>
                <w:rFonts w:ascii="Arial" w:hAnsi="Arial" w:cs="Arial"/>
                <w:sz w:val="18"/>
                <w:szCs w:val="18"/>
              </w:rPr>
            </w:pPr>
            <w:r>
              <w:rPr>
                <w:rFonts w:ascii="Arial" w:hAnsi="Arial" w:cs="Arial"/>
                <w:sz w:val="18"/>
                <w:szCs w:val="18"/>
              </w:rPr>
              <w:t xml:space="preserve">Do 10 godina </w:t>
            </w:r>
          </w:p>
        </w:tc>
      </w:tr>
      <w:tr w:rsidR="00E3528F" w:rsidRPr="00A92783" w:rsidTr="00A92783">
        <w:tc>
          <w:tcPr>
            <w:tcW w:w="725" w:type="pct"/>
            <w:tcBorders>
              <w:bottom w:val="single" w:sz="4" w:space="0" w:color="auto"/>
            </w:tcBorders>
            <w:shd w:val="clear" w:color="auto" w:fill="auto"/>
          </w:tcPr>
          <w:p w:rsidR="0063730A" w:rsidRPr="00517506" w:rsidRDefault="0063730A" w:rsidP="00F846FC">
            <w:pPr>
              <w:rPr>
                <w:b/>
              </w:rPr>
            </w:pPr>
            <w:r w:rsidRPr="00517506">
              <w:rPr>
                <w:rFonts w:ascii="Arial" w:hAnsi="Arial" w:cs="Arial"/>
                <w:b/>
                <w:sz w:val="18"/>
                <w:szCs w:val="18"/>
              </w:rPr>
              <w:t>Korisnik kredita</w:t>
            </w:r>
          </w:p>
          <w:p w:rsidR="0063730A" w:rsidRPr="00517506" w:rsidRDefault="0063730A" w:rsidP="00F846FC">
            <w:pPr>
              <w:rPr>
                <w:b/>
              </w:rPr>
            </w:pPr>
          </w:p>
          <w:p w:rsidR="0063730A" w:rsidRPr="00517506" w:rsidRDefault="0063730A" w:rsidP="00F846FC">
            <w:pPr>
              <w:rPr>
                <w:b/>
              </w:rPr>
            </w:pPr>
          </w:p>
          <w:p w:rsidR="00E3528F" w:rsidRPr="00517506" w:rsidRDefault="00E3528F" w:rsidP="00F846FC">
            <w:pPr>
              <w:rPr>
                <w:rFonts w:ascii="Arial" w:hAnsi="Arial" w:cs="Arial"/>
                <w:b/>
                <w:sz w:val="18"/>
                <w:szCs w:val="18"/>
              </w:rPr>
            </w:pPr>
          </w:p>
        </w:tc>
        <w:tc>
          <w:tcPr>
            <w:tcW w:w="4275" w:type="pct"/>
            <w:tcBorders>
              <w:bottom w:val="single" w:sz="4" w:space="0" w:color="auto"/>
            </w:tcBorders>
            <w:shd w:val="clear" w:color="auto" w:fill="auto"/>
          </w:tcPr>
          <w:p w:rsidR="00F15643" w:rsidRPr="00F15643" w:rsidRDefault="00F15643" w:rsidP="00F15643">
            <w:pPr>
              <w:rPr>
                <w:rFonts w:ascii="Arial" w:hAnsi="Arial" w:cs="Arial"/>
                <w:sz w:val="18"/>
                <w:szCs w:val="18"/>
              </w:rPr>
            </w:pPr>
            <w:r>
              <w:rPr>
                <w:rFonts w:ascii="Arial" w:hAnsi="Arial" w:cs="Arial"/>
                <w:sz w:val="18"/>
                <w:szCs w:val="18"/>
              </w:rPr>
              <w:t>Osnovni uvjeti:</w:t>
            </w:r>
          </w:p>
          <w:p w:rsidR="00F15643" w:rsidRDefault="00F15643" w:rsidP="00F846FC">
            <w:pPr>
              <w:pStyle w:val="ListParagraph"/>
              <w:numPr>
                <w:ilvl w:val="0"/>
                <w:numId w:val="7"/>
              </w:numPr>
              <w:ind w:left="176" w:hanging="176"/>
              <w:rPr>
                <w:rFonts w:ascii="Arial" w:hAnsi="Arial" w:cs="Arial"/>
                <w:sz w:val="18"/>
                <w:szCs w:val="18"/>
              </w:rPr>
            </w:pPr>
            <w:r>
              <w:rPr>
                <w:rFonts w:ascii="Arial" w:hAnsi="Arial" w:cs="Arial"/>
                <w:sz w:val="18"/>
                <w:szCs w:val="18"/>
              </w:rPr>
              <w:t xml:space="preserve">državljanin RH, </w:t>
            </w:r>
          </w:p>
          <w:p w:rsidR="00CB3E38" w:rsidRPr="00F53665" w:rsidRDefault="0063730A" w:rsidP="00F846FC">
            <w:pPr>
              <w:pStyle w:val="ListParagraph"/>
              <w:numPr>
                <w:ilvl w:val="0"/>
                <w:numId w:val="7"/>
              </w:numPr>
              <w:ind w:left="176" w:hanging="176"/>
              <w:rPr>
                <w:rFonts w:ascii="Arial" w:hAnsi="Arial" w:cs="Arial"/>
                <w:sz w:val="18"/>
                <w:szCs w:val="18"/>
              </w:rPr>
            </w:pPr>
            <w:r w:rsidRPr="00F53665">
              <w:rPr>
                <w:rFonts w:ascii="Arial" w:hAnsi="Arial" w:cs="Arial"/>
                <w:sz w:val="18"/>
                <w:szCs w:val="18"/>
              </w:rPr>
              <w:t xml:space="preserve">kreditno sposoban </w:t>
            </w:r>
          </w:p>
          <w:p w:rsidR="00CB3E38" w:rsidRPr="00F53665" w:rsidRDefault="0063730A" w:rsidP="00F846FC">
            <w:pPr>
              <w:pStyle w:val="ListParagraph"/>
              <w:numPr>
                <w:ilvl w:val="0"/>
                <w:numId w:val="7"/>
              </w:numPr>
              <w:ind w:left="176" w:hanging="176"/>
              <w:rPr>
                <w:rFonts w:ascii="Arial" w:hAnsi="Arial" w:cs="Arial"/>
                <w:sz w:val="18"/>
                <w:szCs w:val="18"/>
              </w:rPr>
            </w:pPr>
            <w:r w:rsidRPr="00F53665">
              <w:rPr>
                <w:rFonts w:ascii="Arial" w:hAnsi="Arial" w:cs="Arial"/>
                <w:sz w:val="18"/>
                <w:szCs w:val="18"/>
              </w:rPr>
              <w:t xml:space="preserve">Minimalna dob </w:t>
            </w:r>
            <w:r w:rsidR="00CB3E38" w:rsidRPr="00F53665">
              <w:rPr>
                <w:rFonts w:ascii="Arial" w:hAnsi="Arial" w:cs="Arial"/>
                <w:sz w:val="18"/>
                <w:szCs w:val="18"/>
              </w:rPr>
              <w:t>18 godina</w:t>
            </w:r>
          </w:p>
          <w:p w:rsidR="00CB3E38" w:rsidRPr="00CF1E94" w:rsidRDefault="00867DA2" w:rsidP="00CF1E94">
            <w:pPr>
              <w:pStyle w:val="ListParagraph"/>
              <w:numPr>
                <w:ilvl w:val="0"/>
                <w:numId w:val="5"/>
              </w:numPr>
              <w:ind w:left="176" w:hanging="176"/>
              <w:rPr>
                <w:rFonts w:ascii="Arial" w:hAnsi="Arial" w:cs="Arial"/>
                <w:sz w:val="18"/>
                <w:szCs w:val="18"/>
              </w:rPr>
            </w:pPr>
            <w:r w:rsidRPr="00F53665">
              <w:rPr>
                <w:rFonts w:ascii="Arial" w:hAnsi="Arial" w:cs="Arial"/>
                <w:sz w:val="18"/>
                <w:szCs w:val="18"/>
              </w:rPr>
              <w:t xml:space="preserve">Kredit mora biti otplaćen </w:t>
            </w:r>
            <w:r w:rsidR="00CF1E94" w:rsidRPr="00F53665">
              <w:rPr>
                <w:rFonts w:ascii="Arial" w:hAnsi="Arial" w:cs="Arial"/>
                <w:sz w:val="18"/>
                <w:szCs w:val="18"/>
              </w:rPr>
              <w:t xml:space="preserve"> do 7</w:t>
            </w:r>
            <w:r w:rsidR="00CF1E94">
              <w:rPr>
                <w:rFonts w:ascii="Arial" w:hAnsi="Arial" w:cs="Arial"/>
                <w:sz w:val="18"/>
                <w:szCs w:val="18"/>
              </w:rPr>
              <w:t>0</w:t>
            </w:r>
            <w:r w:rsidR="00CF1E94" w:rsidRPr="00F53665">
              <w:rPr>
                <w:rFonts w:ascii="Arial" w:hAnsi="Arial" w:cs="Arial"/>
                <w:sz w:val="18"/>
                <w:szCs w:val="18"/>
              </w:rPr>
              <w:t xml:space="preserve"> godine života </w:t>
            </w:r>
            <w:r w:rsidR="00CF1E94">
              <w:rPr>
                <w:rFonts w:ascii="Arial" w:hAnsi="Arial" w:cs="Arial"/>
                <w:sz w:val="18"/>
                <w:szCs w:val="18"/>
              </w:rPr>
              <w:t>za radno aktivne klijente (zaposlene), odnosno do 75 godine za umirovljenike</w:t>
            </w:r>
          </w:p>
          <w:p w:rsidR="00CB3E38" w:rsidRPr="00B4345C" w:rsidRDefault="00CB3E38" w:rsidP="00F15643">
            <w:pPr>
              <w:pStyle w:val="ListParagraph"/>
              <w:numPr>
                <w:ilvl w:val="0"/>
                <w:numId w:val="5"/>
              </w:numPr>
              <w:ind w:left="176" w:hanging="176"/>
              <w:rPr>
                <w:rFonts w:ascii="Arial" w:hAnsi="Arial" w:cs="Arial"/>
                <w:sz w:val="18"/>
                <w:szCs w:val="18"/>
                <w:lang w:val="it-IT"/>
              </w:rPr>
            </w:pPr>
            <w:r w:rsidRPr="00B4345C">
              <w:rPr>
                <w:rFonts w:ascii="Arial" w:hAnsi="Arial" w:cs="Arial"/>
                <w:sz w:val="18"/>
                <w:szCs w:val="18"/>
                <w:lang w:val="it-IT"/>
              </w:rPr>
              <w:t>netto osobni dohodak: minimalno 2.500 kuna</w:t>
            </w:r>
            <w:r w:rsidR="00AA741D" w:rsidRPr="00B4345C">
              <w:rPr>
                <w:rFonts w:ascii="Arial" w:hAnsi="Arial" w:cs="Arial"/>
                <w:sz w:val="18"/>
                <w:szCs w:val="18"/>
                <w:lang w:val="it-IT"/>
              </w:rPr>
              <w:t xml:space="preserve"> </w:t>
            </w:r>
          </w:p>
        </w:tc>
      </w:tr>
      <w:tr w:rsidR="00E3528F" w:rsidRPr="00345D91" w:rsidTr="00667018">
        <w:tc>
          <w:tcPr>
            <w:tcW w:w="5000" w:type="pct"/>
            <w:gridSpan w:val="2"/>
            <w:shd w:val="clear" w:color="auto" w:fill="00703C"/>
          </w:tcPr>
          <w:p w:rsidR="00E3528F" w:rsidRPr="00517506" w:rsidRDefault="0063730A" w:rsidP="00F846FC">
            <w:pPr>
              <w:rPr>
                <w:rFonts w:ascii="Arial" w:hAnsi="Arial" w:cs="Arial"/>
                <w:b/>
                <w:sz w:val="18"/>
                <w:szCs w:val="18"/>
              </w:rPr>
            </w:pPr>
            <w:r w:rsidRPr="005616FF">
              <w:rPr>
                <w:rFonts w:ascii="Arial" w:hAnsi="Arial" w:cs="Arial"/>
                <w:b/>
                <w:color w:val="FFFFFF" w:themeColor="background1"/>
                <w:sz w:val="18"/>
                <w:szCs w:val="18"/>
              </w:rPr>
              <w:t>Kamatna stopa</w:t>
            </w:r>
            <w:r w:rsidRPr="005616FF">
              <w:rPr>
                <w:rFonts w:ascii="Arial" w:hAnsi="Arial" w:cs="Arial"/>
                <w:b/>
                <w:color w:val="FFFFFF" w:themeColor="background1"/>
                <w:sz w:val="18"/>
                <w:szCs w:val="18"/>
              </w:rPr>
              <w:tab/>
            </w:r>
          </w:p>
        </w:tc>
      </w:tr>
      <w:tr w:rsidR="00E3528F" w:rsidRPr="00A92783" w:rsidTr="00A92783">
        <w:trPr>
          <w:trHeight w:val="785"/>
        </w:trPr>
        <w:tc>
          <w:tcPr>
            <w:tcW w:w="725" w:type="pct"/>
          </w:tcPr>
          <w:p w:rsidR="00B01B8A" w:rsidRPr="0020784E" w:rsidRDefault="00B01B8A" w:rsidP="00F846FC">
            <w:pPr>
              <w:rPr>
                <w:rFonts w:ascii="Arial" w:eastAsia="Times New Roman" w:hAnsi="Arial" w:cs="Arial"/>
                <w:b/>
                <w:sz w:val="18"/>
                <w:szCs w:val="18"/>
                <w:lang w:val="hr-HR" w:eastAsia="hr-HR"/>
              </w:rPr>
            </w:pPr>
            <w:r w:rsidRPr="0020784E">
              <w:rPr>
                <w:rFonts w:ascii="Arial" w:eastAsia="Times New Roman" w:hAnsi="Arial" w:cs="Arial"/>
                <w:b/>
                <w:sz w:val="18"/>
                <w:szCs w:val="18"/>
                <w:lang w:val="hr-HR" w:eastAsia="hr-HR"/>
              </w:rPr>
              <w:t>Vrsta kamatne stope</w:t>
            </w:r>
          </w:p>
          <w:p w:rsidR="00B01B8A" w:rsidRPr="0020784E" w:rsidRDefault="00B01B8A" w:rsidP="00F846FC">
            <w:pPr>
              <w:rPr>
                <w:rFonts w:ascii="Arial" w:eastAsia="Times New Roman" w:hAnsi="Arial" w:cs="Arial"/>
                <w:sz w:val="18"/>
                <w:szCs w:val="18"/>
                <w:lang w:val="hr-HR" w:eastAsia="hr-HR"/>
              </w:rPr>
            </w:pPr>
          </w:p>
        </w:tc>
        <w:tc>
          <w:tcPr>
            <w:tcW w:w="4275" w:type="pct"/>
          </w:tcPr>
          <w:p w:rsidR="0063730A" w:rsidRPr="0020784E" w:rsidRDefault="0063730A" w:rsidP="00F846FC">
            <w:pPr>
              <w:rPr>
                <w:rFonts w:ascii="Arial" w:eastAsia="Times New Roman" w:hAnsi="Arial" w:cs="Arial"/>
                <w:sz w:val="18"/>
                <w:szCs w:val="18"/>
                <w:lang w:val="hr-HR" w:eastAsia="hr-HR"/>
              </w:rPr>
            </w:pPr>
            <w:r w:rsidRPr="0020784E">
              <w:rPr>
                <w:rFonts w:ascii="Arial" w:eastAsia="Times New Roman" w:hAnsi="Arial" w:cs="Arial"/>
                <w:sz w:val="18"/>
                <w:szCs w:val="18"/>
                <w:lang w:val="hr-HR" w:eastAsia="hr-HR"/>
              </w:rPr>
              <w:t>Određuje se Odlukom o kamatama i naknadama Banke</w:t>
            </w:r>
          </w:p>
          <w:p w:rsidR="00F53665" w:rsidRPr="0020784E" w:rsidRDefault="0063730A" w:rsidP="005E77DF">
            <w:pPr>
              <w:rPr>
                <w:rFonts w:ascii="Arial" w:eastAsia="Times New Roman" w:hAnsi="Arial" w:cs="Arial"/>
                <w:sz w:val="18"/>
                <w:szCs w:val="18"/>
                <w:lang w:val="hr-HR" w:eastAsia="hr-HR"/>
              </w:rPr>
            </w:pPr>
            <w:r w:rsidRPr="0020784E">
              <w:rPr>
                <w:rFonts w:ascii="Arial" w:eastAsia="Times New Roman" w:hAnsi="Arial" w:cs="Arial"/>
                <w:sz w:val="18"/>
                <w:szCs w:val="18"/>
                <w:lang w:val="hr-HR" w:eastAsia="hr-HR"/>
              </w:rPr>
              <w:t>Primjena i promjenjivost kamatne stope regulirana je Općim uvjetima za poslovanje s građanima i Politikom kamatnih stopa za potrošače.</w:t>
            </w:r>
          </w:p>
        </w:tc>
      </w:tr>
      <w:tr w:rsidR="00F53665" w:rsidRPr="00A92783" w:rsidTr="00A92783">
        <w:trPr>
          <w:trHeight w:val="422"/>
        </w:trPr>
        <w:tc>
          <w:tcPr>
            <w:tcW w:w="725" w:type="pct"/>
            <w:tcBorders>
              <w:top w:val="single" w:sz="4" w:space="0" w:color="auto"/>
            </w:tcBorders>
            <w:shd w:val="clear" w:color="auto" w:fill="auto"/>
          </w:tcPr>
          <w:p w:rsidR="00F53665" w:rsidRDefault="00F53665" w:rsidP="00F846FC">
            <w:pPr>
              <w:rPr>
                <w:rFonts w:ascii="Arial" w:hAnsi="Arial" w:cs="Arial"/>
                <w:b/>
                <w:sz w:val="18"/>
                <w:szCs w:val="18"/>
              </w:rPr>
            </w:pPr>
            <w:r w:rsidRPr="00517506">
              <w:rPr>
                <w:rFonts w:ascii="Arial" w:hAnsi="Arial" w:cs="Arial"/>
                <w:b/>
                <w:sz w:val="18"/>
                <w:szCs w:val="18"/>
              </w:rPr>
              <w:t>Visina kamatne stope</w:t>
            </w:r>
            <w:r>
              <w:rPr>
                <w:rFonts w:ascii="Arial" w:hAnsi="Arial" w:cs="Arial"/>
                <w:b/>
                <w:sz w:val="18"/>
                <w:szCs w:val="18"/>
              </w:rPr>
              <w:t xml:space="preserve"> i visina efektivne kamatne stope (EKS)</w:t>
            </w:r>
          </w:p>
          <w:p w:rsidR="00F53665" w:rsidRPr="00517506" w:rsidRDefault="00F53665" w:rsidP="00F846FC">
            <w:pPr>
              <w:rPr>
                <w:rFonts w:ascii="Arial" w:hAnsi="Arial" w:cs="Arial"/>
                <w:b/>
                <w:sz w:val="18"/>
                <w:szCs w:val="18"/>
              </w:rPr>
            </w:pPr>
          </w:p>
        </w:tc>
        <w:tc>
          <w:tcPr>
            <w:tcW w:w="4275" w:type="pct"/>
            <w:tcBorders>
              <w:top w:val="single" w:sz="4" w:space="0" w:color="auto"/>
            </w:tcBorders>
            <w:shd w:val="clear" w:color="auto" w:fill="auto"/>
          </w:tcPr>
          <w:p w:rsidR="00B4712D" w:rsidRPr="00B4712D" w:rsidRDefault="00B4712D">
            <w:pPr>
              <w:rPr>
                <w:sz w:val="6"/>
              </w:rPr>
            </w:pPr>
          </w:p>
          <w:tbl>
            <w:tblPr>
              <w:tblW w:w="8449" w:type="dxa"/>
              <w:tblLook w:val="04A0" w:firstRow="1" w:lastRow="0" w:firstColumn="1" w:lastColumn="0" w:noHBand="0" w:noVBand="1"/>
            </w:tblPr>
            <w:tblGrid>
              <w:gridCol w:w="3528"/>
              <w:gridCol w:w="2399"/>
              <w:gridCol w:w="2522"/>
            </w:tblGrid>
            <w:tr w:rsidR="00B9263A" w:rsidRPr="00A92783" w:rsidTr="00DB3F40">
              <w:trPr>
                <w:trHeight w:val="360"/>
              </w:trPr>
              <w:tc>
                <w:tcPr>
                  <w:tcW w:w="8449" w:type="dxa"/>
                  <w:gridSpan w:val="3"/>
                  <w:tcBorders>
                    <w:top w:val="single" w:sz="8" w:space="0" w:color="auto"/>
                    <w:left w:val="single" w:sz="8" w:space="0" w:color="auto"/>
                    <w:bottom w:val="single" w:sz="8" w:space="0" w:color="auto"/>
                    <w:right w:val="single" w:sz="8" w:space="0" w:color="000000"/>
                  </w:tcBorders>
                  <w:shd w:val="clear" w:color="auto" w:fill="D6E3BC" w:themeFill="accent3" w:themeFillTint="66"/>
                  <w:vAlign w:val="center"/>
                  <w:hideMark/>
                </w:tcPr>
                <w:p w:rsidR="00B9263A" w:rsidRPr="00E717AD" w:rsidRDefault="004B06D7" w:rsidP="00E642B3">
                  <w:pPr>
                    <w:framePr w:hSpace="180" w:wrap="around" w:hAnchor="margin" w:y="-750"/>
                    <w:spacing w:after="0" w:line="240" w:lineRule="auto"/>
                    <w:rPr>
                      <w:rFonts w:ascii="Arial" w:eastAsia="Times New Roman" w:hAnsi="Arial" w:cs="Arial"/>
                      <w:b/>
                      <w:bCs/>
                      <w:color w:val="00B0F0"/>
                      <w:sz w:val="16"/>
                      <w:szCs w:val="16"/>
                      <w:lang w:val="hr-HR" w:eastAsia="hr-HR"/>
                    </w:rPr>
                  </w:pPr>
                  <w:r>
                    <w:rPr>
                      <w:rFonts w:ascii="Arial" w:eastAsia="Times New Roman" w:hAnsi="Arial" w:cs="Arial"/>
                      <w:b/>
                      <w:bCs/>
                      <w:sz w:val="16"/>
                      <w:szCs w:val="16"/>
                      <w:lang w:val="hr-HR" w:eastAsia="hr-HR"/>
                    </w:rPr>
                    <w:t xml:space="preserve">VALUTA KREDITA:                                                        </w:t>
                  </w:r>
                  <w:r w:rsidR="00417950">
                    <w:rPr>
                      <w:rFonts w:ascii="Arial" w:eastAsia="Times New Roman" w:hAnsi="Arial" w:cs="Arial"/>
                      <w:b/>
                      <w:bCs/>
                      <w:sz w:val="16"/>
                      <w:szCs w:val="16"/>
                      <w:lang w:val="hr-HR" w:eastAsia="hr-HR"/>
                    </w:rPr>
                    <w:t xml:space="preserve">    </w:t>
                  </w:r>
                  <w:r>
                    <w:rPr>
                      <w:rFonts w:ascii="Arial" w:eastAsia="Times New Roman" w:hAnsi="Arial" w:cs="Arial"/>
                      <w:b/>
                      <w:bCs/>
                      <w:sz w:val="16"/>
                      <w:szCs w:val="16"/>
                      <w:lang w:val="hr-HR" w:eastAsia="hr-HR"/>
                    </w:rPr>
                    <w:t xml:space="preserve">  </w:t>
                  </w:r>
                  <w:r w:rsidR="00417950">
                    <w:rPr>
                      <w:rFonts w:ascii="Arial" w:eastAsia="Times New Roman" w:hAnsi="Arial" w:cs="Arial"/>
                      <w:b/>
                      <w:bCs/>
                      <w:sz w:val="16"/>
                      <w:szCs w:val="16"/>
                      <w:lang w:val="hr-HR" w:eastAsia="hr-HR"/>
                    </w:rPr>
                    <w:t>u kunama ili uz valutnu klauzulu u EUR</w:t>
                  </w:r>
                  <w:r w:rsidR="00B9263A" w:rsidRPr="00E717AD">
                    <w:rPr>
                      <w:rFonts w:ascii="Arial" w:eastAsia="Times New Roman" w:hAnsi="Arial" w:cs="Arial"/>
                      <w:b/>
                      <w:bCs/>
                      <w:sz w:val="16"/>
                      <w:szCs w:val="16"/>
                      <w:lang w:val="hr-HR" w:eastAsia="hr-HR"/>
                    </w:rPr>
                    <w:t xml:space="preserve"> </w:t>
                  </w:r>
                </w:p>
              </w:tc>
            </w:tr>
            <w:tr w:rsidR="00B9263A" w:rsidRPr="00121C13" w:rsidTr="00DB3F40">
              <w:trPr>
                <w:trHeight w:val="250"/>
              </w:trPr>
              <w:tc>
                <w:tcPr>
                  <w:tcW w:w="3528" w:type="dxa"/>
                  <w:tcBorders>
                    <w:top w:val="nil"/>
                    <w:left w:val="single" w:sz="8" w:space="0" w:color="auto"/>
                    <w:bottom w:val="single" w:sz="8" w:space="0" w:color="auto"/>
                    <w:right w:val="single" w:sz="8" w:space="0" w:color="auto"/>
                  </w:tcBorders>
                  <w:shd w:val="clear" w:color="auto" w:fill="D6E3BC" w:themeFill="accent3" w:themeFillTint="66"/>
                  <w:vAlign w:val="center"/>
                  <w:hideMark/>
                </w:tcPr>
                <w:p w:rsidR="00B9263A" w:rsidRPr="00E717AD" w:rsidRDefault="00B9263A" w:rsidP="00E642B3">
                  <w:pPr>
                    <w:framePr w:hSpace="180" w:wrap="around" w:hAnchor="margin" w:y="-750"/>
                    <w:spacing w:after="0" w:line="240" w:lineRule="auto"/>
                    <w:rPr>
                      <w:rFonts w:ascii="Arial" w:eastAsia="Times New Roman" w:hAnsi="Arial" w:cs="Arial"/>
                      <w:b/>
                      <w:bCs/>
                      <w:sz w:val="16"/>
                      <w:szCs w:val="16"/>
                      <w:lang w:val="hr-HR" w:eastAsia="hr-HR"/>
                    </w:rPr>
                  </w:pPr>
                  <w:r w:rsidRPr="00E717AD">
                    <w:rPr>
                      <w:rFonts w:ascii="Arial" w:eastAsia="Times New Roman" w:hAnsi="Arial" w:cs="Arial"/>
                      <w:b/>
                      <w:bCs/>
                      <w:sz w:val="16"/>
                      <w:szCs w:val="16"/>
                      <w:lang w:val="hr-HR" w:eastAsia="hr-HR"/>
                    </w:rPr>
                    <w:t>VRSTA KAMATNE STOPE</w:t>
                  </w:r>
                </w:p>
              </w:tc>
              <w:tc>
                <w:tcPr>
                  <w:tcW w:w="2399" w:type="dxa"/>
                  <w:tcBorders>
                    <w:top w:val="nil"/>
                    <w:left w:val="nil"/>
                    <w:bottom w:val="single" w:sz="8" w:space="0" w:color="auto"/>
                    <w:right w:val="single" w:sz="8" w:space="0" w:color="auto"/>
                  </w:tcBorders>
                  <w:shd w:val="clear" w:color="auto" w:fill="D6E3BC" w:themeFill="accent3" w:themeFillTint="66"/>
                  <w:vAlign w:val="center"/>
                  <w:hideMark/>
                </w:tcPr>
                <w:p w:rsidR="00B9263A" w:rsidRPr="00E717AD" w:rsidRDefault="00B9263A" w:rsidP="00E642B3">
                  <w:pPr>
                    <w:framePr w:hSpace="180" w:wrap="around" w:hAnchor="margin" w:y="-750"/>
                    <w:spacing w:after="0" w:line="240" w:lineRule="auto"/>
                    <w:jc w:val="center"/>
                    <w:rPr>
                      <w:rFonts w:ascii="Arial" w:eastAsia="Times New Roman" w:hAnsi="Arial" w:cs="Arial"/>
                      <w:b/>
                      <w:bCs/>
                      <w:sz w:val="16"/>
                      <w:szCs w:val="16"/>
                      <w:lang w:val="hr-HR" w:eastAsia="hr-HR"/>
                    </w:rPr>
                  </w:pPr>
                  <w:r w:rsidRPr="00E717AD">
                    <w:rPr>
                      <w:rFonts w:ascii="Arial" w:eastAsia="Times New Roman" w:hAnsi="Arial" w:cs="Arial"/>
                      <w:b/>
                      <w:bCs/>
                      <w:sz w:val="16"/>
                      <w:szCs w:val="16"/>
                      <w:lang w:val="hr-HR" w:eastAsia="hr-HR"/>
                    </w:rPr>
                    <w:t>PROMJENJIVA KAMATA</w:t>
                  </w:r>
                </w:p>
              </w:tc>
              <w:tc>
                <w:tcPr>
                  <w:tcW w:w="2522" w:type="dxa"/>
                  <w:tcBorders>
                    <w:top w:val="nil"/>
                    <w:left w:val="nil"/>
                    <w:bottom w:val="single" w:sz="8" w:space="0" w:color="auto"/>
                    <w:right w:val="single" w:sz="8" w:space="0" w:color="auto"/>
                  </w:tcBorders>
                  <w:shd w:val="clear" w:color="auto" w:fill="D6E3BC" w:themeFill="accent3" w:themeFillTint="66"/>
                  <w:vAlign w:val="center"/>
                  <w:hideMark/>
                </w:tcPr>
                <w:p w:rsidR="004B06D7" w:rsidRPr="00E717AD" w:rsidRDefault="00B9263A" w:rsidP="00E642B3">
                  <w:pPr>
                    <w:framePr w:hSpace="180" w:wrap="around" w:hAnchor="margin" w:y="-750"/>
                    <w:spacing w:after="0" w:line="240" w:lineRule="auto"/>
                    <w:jc w:val="center"/>
                    <w:rPr>
                      <w:rFonts w:ascii="Arial" w:eastAsia="Times New Roman" w:hAnsi="Arial" w:cs="Arial"/>
                      <w:b/>
                      <w:bCs/>
                      <w:sz w:val="16"/>
                      <w:szCs w:val="16"/>
                      <w:lang w:val="hr-HR" w:eastAsia="hr-HR"/>
                    </w:rPr>
                  </w:pPr>
                  <w:r w:rsidRPr="00E717AD">
                    <w:rPr>
                      <w:rFonts w:ascii="Arial" w:eastAsia="Times New Roman" w:hAnsi="Arial" w:cs="Arial"/>
                      <w:b/>
                      <w:bCs/>
                      <w:sz w:val="16"/>
                      <w:szCs w:val="16"/>
                      <w:lang w:val="hr-HR" w:eastAsia="hr-HR"/>
                    </w:rPr>
                    <w:t>FIKSNA KAMATA</w:t>
                  </w:r>
                </w:p>
              </w:tc>
            </w:tr>
            <w:tr w:rsidR="00E717AD" w:rsidRPr="00121C13" w:rsidTr="00DB3F40">
              <w:trPr>
                <w:trHeight w:val="250"/>
              </w:trPr>
              <w:tc>
                <w:tcPr>
                  <w:tcW w:w="3528" w:type="dxa"/>
                  <w:tcBorders>
                    <w:top w:val="nil"/>
                    <w:left w:val="single" w:sz="8" w:space="0" w:color="auto"/>
                    <w:bottom w:val="single" w:sz="8" w:space="0" w:color="auto"/>
                    <w:right w:val="single" w:sz="8" w:space="0" w:color="auto"/>
                  </w:tcBorders>
                  <w:shd w:val="clear" w:color="auto" w:fill="D6E3BC" w:themeFill="accent3" w:themeFillTint="66"/>
                  <w:vAlign w:val="center"/>
                </w:tcPr>
                <w:p w:rsidR="00E717AD" w:rsidRPr="00E717AD" w:rsidRDefault="00E717AD" w:rsidP="00E642B3">
                  <w:pPr>
                    <w:framePr w:hSpace="180" w:wrap="around" w:hAnchor="margin" w:y="-750"/>
                    <w:spacing w:after="0" w:line="240" w:lineRule="auto"/>
                    <w:rPr>
                      <w:rFonts w:ascii="Arial" w:eastAsia="Times New Roman" w:hAnsi="Arial" w:cs="Arial"/>
                      <w:b/>
                      <w:bCs/>
                      <w:color w:val="00B0F0"/>
                      <w:sz w:val="16"/>
                      <w:szCs w:val="16"/>
                      <w:lang w:val="hr-HR" w:eastAsia="hr-HR"/>
                    </w:rPr>
                  </w:pPr>
                  <w:r w:rsidRPr="00AD4E65">
                    <w:rPr>
                      <w:rFonts w:ascii="Arial" w:eastAsia="Times New Roman" w:hAnsi="Arial" w:cs="Arial"/>
                      <w:b/>
                      <w:bCs/>
                      <w:sz w:val="16"/>
                      <w:szCs w:val="16"/>
                      <w:lang w:val="hr-HR" w:eastAsia="hr-HR"/>
                    </w:rPr>
                    <w:t xml:space="preserve">NOMINALNA KAMATNA STOPA </w:t>
                  </w:r>
                  <w:r w:rsidRPr="00AD4E65">
                    <w:rPr>
                      <w:rFonts w:ascii="Arial" w:eastAsia="Times New Roman" w:hAnsi="Arial" w:cs="Arial"/>
                      <w:b/>
                      <w:bCs/>
                      <w:sz w:val="16"/>
                      <w:szCs w:val="16"/>
                      <w:vertAlign w:val="superscript"/>
                      <w:lang w:val="hr-HR" w:eastAsia="hr-HR"/>
                    </w:rPr>
                    <w:t>1</w:t>
                  </w:r>
                  <w:r w:rsidRPr="00AD4E65">
                    <w:rPr>
                      <w:rFonts w:ascii="Arial" w:eastAsia="Times New Roman" w:hAnsi="Arial" w:cs="Arial"/>
                      <w:b/>
                      <w:bCs/>
                      <w:sz w:val="16"/>
                      <w:szCs w:val="16"/>
                      <w:lang w:val="hr-HR" w:eastAsia="hr-HR"/>
                    </w:rPr>
                    <w:t xml:space="preserve">  </w:t>
                  </w:r>
                </w:p>
              </w:tc>
              <w:tc>
                <w:tcPr>
                  <w:tcW w:w="4921" w:type="dxa"/>
                  <w:gridSpan w:val="2"/>
                  <w:tcBorders>
                    <w:top w:val="nil"/>
                    <w:left w:val="nil"/>
                    <w:bottom w:val="single" w:sz="8" w:space="0" w:color="auto"/>
                    <w:right w:val="single" w:sz="8" w:space="0" w:color="auto"/>
                  </w:tcBorders>
                  <w:shd w:val="clear" w:color="auto" w:fill="D6E3BC" w:themeFill="accent3" w:themeFillTint="66"/>
                  <w:vAlign w:val="center"/>
                </w:tcPr>
                <w:p w:rsidR="00E717AD" w:rsidRPr="00C47792" w:rsidRDefault="00E717AD" w:rsidP="00E642B3">
                  <w:pPr>
                    <w:framePr w:hSpace="180" w:wrap="around" w:hAnchor="margin" w:y="-750"/>
                    <w:spacing w:after="0" w:line="240" w:lineRule="auto"/>
                    <w:jc w:val="center"/>
                    <w:rPr>
                      <w:rFonts w:ascii="Arial" w:eastAsia="Times New Roman" w:hAnsi="Arial" w:cs="Arial"/>
                      <w:b/>
                      <w:bCs/>
                      <w:color w:val="000000" w:themeColor="text1"/>
                      <w:sz w:val="16"/>
                      <w:szCs w:val="16"/>
                      <w:lang w:val="hr-HR" w:eastAsia="hr-HR"/>
                    </w:rPr>
                  </w:pPr>
                  <w:r w:rsidRPr="00C47792">
                    <w:rPr>
                      <w:rFonts w:ascii="Arial" w:eastAsia="Times New Roman" w:hAnsi="Arial" w:cs="Arial"/>
                      <w:b/>
                      <w:bCs/>
                      <w:color w:val="000000" w:themeColor="text1"/>
                      <w:sz w:val="16"/>
                      <w:szCs w:val="16"/>
                      <w:lang w:val="hr-HR" w:eastAsia="hr-HR"/>
                    </w:rPr>
                    <w:t>od 4,90% do 6,60%</w:t>
                  </w:r>
                </w:p>
                <w:p w:rsidR="004B06D7" w:rsidRPr="00C47792" w:rsidRDefault="00E717AD" w:rsidP="00E642B3">
                  <w:pPr>
                    <w:framePr w:hSpace="180" w:wrap="around" w:hAnchor="margin" w:y="-750"/>
                    <w:spacing w:after="0" w:line="240" w:lineRule="auto"/>
                    <w:jc w:val="center"/>
                    <w:rPr>
                      <w:rFonts w:ascii="Arial" w:eastAsia="Times New Roman" w:hAnsi="Arial" w:cs="Arial"/>
                      <w:b/>
                      <w:bCs/>
                      <w:color w:val="000000" w:themeColor="text1"/>
                      <w:sz w:val="16"/>
                      <w:szCs w:val="16"/>
                      <w:lang w:val="hr-HR" w:eastAsia="hr-HR"/>
                    </w:rPr>
                  </w:pPr>
                  <w:r w:rsidRPr="00C47792">
                    <w:rPr>
                      <w:rFonts w:ascii="Arial" w:eastAsia="Times New Roman" w:hAnsi="Arial" w:cs="Arial"/>
                      <w:b/>
                      <w:bCs/>
                      <w:color w:val="000000" w:themeColor="text1"/>
                      <w:sz w:val="16"/>
                      <w:szCs w:val="16"/>
                      <w:lang w:val="hr-HR" w:eastAsia="hr-HR"/>
                    </w:rPr>
                    <w:t xml:space="preserve">(EKS od </w:t>
                  </w:r>
                  <w:r w:rsidR="00E72774" w:rsidRPr="00C47792">
                    <w:rPr>
                      <w:rFonts w:ascii="Arial" w:eastAsia="Times New Roman" w:hAnsi="Arial" w:cs="Arial"/>
                      <w:b/>
                      <w:bCs/>
                      <w:color w:val="000000" w:themeColor="text1"/>
                      <w:sz w:val="16"/>
                      <w:szCs w:val="16"/>
                      <w:lang w:val="hr-HR" w:eastAsia="hr-HR"/>
                    </w:rPr>
                    <w:t>5,</w:t>
                  </w:r>
                  <w:r w:rsidR="00E902DF">
                    <w:rPr>
                      <w:rFonts w:ascii="Arial" w:eastAsia="Times New Roman" w:hAnsi="Arial" w:cs="Arial"/>
                      <w:b/>
                      <w:bCs/>
                      <w:color w:val="000000" w:themeColor="text1"/>
                      <w:sz w:val="16"/>
                      <w:szCs w:val="16"/>
                      <w:lang w:val="hr-HR" w:eastAsia="hr-HR"/>
                    </w:rPr>
                    <w:t>41</w:t>
                  </w:r>
                  <w:r w:rsidRPr="00C47792">
                    <w:rPr>
                      <w:rFonts w:ascii="Arial" w:eastAsia="Times New Roman" w:hAnsi="Arial" w:cs="Arial"/>
                      <w:b/>
                      <w:bCs/>
                      <w:color w:val="000000" w:themeColor="text1"/>
                      <w:sz w:val="16"/>
                      <w:szCs w:val="16"/>
                      <w:lang w:val="hr-HR" w:eastAsia="hr-HR"/>
                    </w:rPr>
                    <w:t>%</w:t>
                  </w:r>
                  <w:r w:rsidR="00AD4E65" w:rsidRPr="00C47792">
                    <w:rPr>
                      <w:rFonts w:ascii="Arial" w:eastAsia="Times New Roman" w:hAnsi="Arial" w:cs="Arial"/>
                      <w:b/>
                      <w:bCs/>
                      <w:color w:val="000000" w:themeColor="text1"/>
                      <w:sz w:val="16"/>
                      <w:szCs w:val="16"/>
                      <w:vertAlign w:val="superscript"/>
                      <w:lang w:val="hr-HR" w:eastAsia="hr-HR"/>
                    </w:rPr>
                    <w:t>2</w:t>
                  </w:r>
                  <w:r w:rsidRPr="00C47792">
                    <w:rPr>
                      <w:rFonts w:ascii="Arial" w:eastAsia="Times New Roman" w:hAnsi="Arial" w:cs="Arial"/>
                      <w:b/>
                      <w:bCs/>
                      <w:color w:val="000000" w:themeColor="text1"/>
                      <w:sz w:val="16"/>
                      <w:szCs w:val="16"/>
                      <w:lang w:val="hr-HR" w:eastAsia="hr-HR"/>
                    </w:rPr>
                    <w:t xml:space="preserve"> do </w:t>
                  </w:r>
                  <w:r w:rsidR="00F76918" w:rsidRPr="00C47792">
                    <w:rPr>
                      <w:rFonts w:ascii="Arial" w:eastAsia="Times New Roman" w:hAnsi="Arial" w:cs="Arial"/>
                      <w:b/>
                      <w:bCs/>
                      <w:color w:val="000000" w:themeColor="text1"/>
                      <w:sz w:val="16"/>
                      <w:szCs w:val="16"/>
                      <w:lang w:val="hr-HR" w:eastAsia="hr-HR"/>
                    </w:rPr>
                    <w:t>6,80</w:t>
                  </w:r>
                  <w:r w:rsidRPr="00C47792">
                    <w:rPr>
                      <w:rFonts w:ascii="Arial" w:eastAsia="Times New Roman" w:hAnsi="Arial" w:cs="Arial"/>
                      <w:b/>
                      <w:bCs/>
                      <w:color w:val="000000" w:themeColor="text1"/>
                      <w:sz w:val="16"/>
                      <w:szCs w:val="16"/>
                      <w:lang w:val="hr-HR" w:eastAsia="hr-HR"/>
                    </w:rPr>
                    <w:t>%</w:t>
                  </w:r>
                  <w:r w:rsidR="00AD4E65" w:rsidRPr="00C47792">
                    <w:rPr>
                      <w:rFonts w:ascii="Arial" w:eastAsia="Times New Roman" w:hAnsi="Arial" w:cs="Arial"/>
                      <w:b/>
                      <w:bCs/>
                      <w:color w:val="000000" w:themeColor="text1"/>
                      <w:sz w:val="16"/>
                      <w:szCs w:val="16"/>
                      <w:vertAlign w:val="superscript"/>
                      <w:lang w:val="hr-HR" w:eastAsia="hr-HR"/>
                    </w:rPr>
                    <w:t>3</w:t>
                  </w:r>
                  <w:r w:rsidRPr="00C47792">
                    <w:rPr>
                      <w:rFonts w:ascii="Arial" w:eastAsia="Times New Roman" w:hAnsi="Arial" w:cs="Arial"/>
                      <w:b/>
                      <w:bCs/>
                      <w:color w:val="000000" w:themeColor="text1"/>
                      <w:sz w:val="16"/>
                      <w:szCs w:val="16"/>
                      <w:lang w:val="hr-HR" w:eastAsia="hr-HR"/>
                    </w:rPr>
                    <w:t>)</w:t>
                  </w:r>
                </w:p>
              </w:tc>
            </w:tr>
            <w:tr w:rsidR="00645EDE" w:rsidRPr="00A92783" w:rsidTr="00DB3F40">
              <w:trPr>
                <w:trHeight w:val="567"/>
              </w:trPr>
              <w:tc>
                <w:tcPr>
                  <w:tcW w:w="3528" w:type="dxa"/>
                  <w:tcBorders>
                    <w:top w:val="nil"/>
                    <w:left w:val="single" w:sz="8" w:space="0" w:color="auto"/>
                    <w:bottom w:val="single" w:sz="8" w:space="0" w:color="auto"/>
                    <w:right w:val="single" w:sz="8" w:space="0" w:color="auto"/>
                  </w:tcBorders>
                  <w:shd w:val="clear" w:color="auto" w:fill="D6E3BC" w:themeFill="accent3" w:themeFillTint="66"/>
                  <w:vAlign w:val="center"/>
                  <w:hideMark/>
                </w:tcPr>
                <w:p w:rsidR="00645EDE" w:rsidRPr="00EB0B28" w:rsidRDefault="00645EDE" w:rsidP="00E642B3">
                  <w:pPr>
                    <w:framePr w:hSpace="180" w:wrap="around" w:hAnchor="margin" w:y="-750"/>
                    <w:spacing w:after="0" w:line="240" w:lineRule="auto"/>
                    <w:rPr>
                      <w:rFonts w:ascii="Arial" w:eastAsia="Times New Roman" w:hAnsi="Arial" w:cs="Arial"/>
                      <w:b/>
                      <w:bCs/>
                      <w:color w:val="000000"/>
                      <w:sz w:val="16"/>
                      <w:szCs w:val="16"/>
                      <w:lang w:val="hr-HR" w:eastAsia="hr-HR"/>
                    </w:rPr>
                  </w:pPr>
                  <w:r w:rsidRPr="00EB0B28">
                    <w:rPr>
                      <w:rFonts w:ascii="Arial" w:eastAsia="Times New Roman" w:hAnsi="Arial" w:cs="Arial"/>
                      <w:b/>
                      <w:bCs/>
                      <w:color w:val="000000"/>
                      <w:sz w:val="16"/>
                      <w:szCs w:val="16"/>
                      <w:lang w:val="hr-HR" w:eastAsia="hr-HR"/>
                    </w:rPr>
                    <w:t>PROMJENJIVA KAMATA</w:t>
                  </w:r>
                </w:p>
              </w:tc>
              <w:tc>
                <w:tcPr>
                  <w:tcW w:w="4921" w:type="dxa"/>
                  <w:gridSpan w:val="2"/>
                  <w:tcBorders>
                    <w:top w:val="single" w:sz="8" w:space="0" w:color="auto"/>
                    <w:left w:val="nil"/>
                    <w:bottom w:val="single" w:sz="8" w:space="0" w:color="auto"/>
                    <w:right w:val="single" w:sz="8" w:space="0" w:color="000000"/>
                  </w:tcBorders>
                  <w:shd w:val="clear" w:color="auto" w:fill="auto"/>
                  <w:vAlign w:val="center"/>
                  <w:hideMark/>
                </w:tcPr>
                <w:p w:rsidR="00645EDE" w:rsidRPr="00C47792" w:rsidRDefault="00645EDE" w:rsidP="00E642B3">
                  <w:pPr>
                    <w:framePr w:hSpace="180" w:wrap="around" w:hAnchor="margin" w:y="-750"/>
                    <w:spacing w:after="0" w:line="240" w:lineRule="auto"/>
                    <w:jc w:val="center"/>
                    <w:rPr>
                      <w:rFonts w:ascii="Arial" w:eastAsia="Times New Roman" w:hAnsi="Arial" w:cs="Arial"/>
                      <w:color w:val="000000" w:themeColor="text1"/>
                      <w:sz w:val="16"/>
                      <w:szCs w:val="16"/>
                      <w:lang w:val="hr-HR" w:eastAsia="hr-HR"/>
                    </w:rPr>
                  </w:pPr>
                  <w:r w:rsidRPr="00C47792">
                    <w:rPr>
                      <w:rFonts w:ascii="Arial" w:eastAsia="Times New Roman" w:hAnsi="Arial" w:cs="Arial"/>
                      <w:color w:val="000000" w:themeColor="text1"/>
                      <w:sz w:val="16"/>
                      <w:szCs w:val="16"/>
                      <w:lang w:val="hr-HR" w:eastAsia="hr-HR"/>
                    </w:rPr>
                    <w:t>Kamatna stopa se, sukladno Politici kamatnih stopa u kreditno-depozitnim poslovima s potrošačima (dostupna na www.sberbank.hr), sastoji od promjenjivog i fiksnog dijela</w:t>
                  </w:r>
                </w:p>
              </w:tc>
            </w:tr>
            <w:tr w:rsidR="00645EDE" w:rsidRPr="00A92783" w:rsidTr="00DB3F40">
              <w:trPr>
                <w:trHeight w:val="566"/>
              </w:trPr>
              <w:tc>
                <w:tcPr>
                  <w:tcW w:w="3528"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645EDE" w:rsidRPr="00EB0B28" w:rsidRDefault="00645EDE" w:rsidP="00E642B3">
                  <w:pPr>
                    <w:framePr w:hSpace="180" w:wrap="around" w:hAnchor="margin" w:y="-750"/>
                    <w:spacing w:after="0" w:line="240" w:lineRule="auto"/>
                    <w:rPr>
                      <w:rFonts w:ascii="Arial" w:eastAsia="Times New Roman" w:hAnsi="Arial" w:cs="Arial"/>
                      <w:b/>
                      <w:bCs/>
                      <w:color w:val="000000"/>
                      <w:sz w:val="16"/>
                      <w:szCs w:val="16"/>
                      <w:lang w:val="hr-HR" w:eastAsia="hr-HR"/>
                    </w:rPr>
                  </w:pPr>
                  <w:r w:rsidRPr="00121C13">
                    <w:rPr>
                      <w:rFonts w:ascii="Arial" w:eastAsia="Times New Roman" w:hAnsi="Arial" w:cs="Arial"/>
                      <w:b/>
                      <w:bCs/>
                      <w:color w:val="000000"/>
                      <w:sz w:val="16"/>
                      <w:szCs w:val="16"/>
                      <w:lang w:val="hr-HR" w:eastAsia="hr-HR"/>
                    </w:rPr>
                    <w:t>PARAMETAR PROMIJENJIVOSTI</w:t>
                  </w:r>
                </w:p>
              </w:tc>
              <w:tc>
                <w:tcPr>
                  <w:tcW w:w="4921" w:type="dxa"/>
                  <w:gridSpan w:val="2"/>
                  <w:tcBorders>
                    <w:top w:val="single" w:sz="8" w:space="0" w:color="auto"/>
                    <w:left w:val="nil"/>
                    <w:bottom w:val="single" w:sz="8" w:space="0" w:color="auto"/>
                    <w:right w:val="single" w:sz="8" w:space="0" w:color="000000"/>
                  </w:tcBorders>
                  <w:shd w:val="clear" w:color="auto" w:fill="auto"/>
                  <w:vAlign w:val="center"/>
                  <w:hideMark/>
                </w:tcPr>
                <w:p w:rsidR="00645EDE" w:rsidRPr="00C47792" w:rsidRDefault="00645EDE" w:rsidP="00E642B3">
                  <w:pPr>
                    <w:framePr w:hSpace="180" w:wrap="around" w:hAnchor="margin" w:y="-750"/>
                    <w:spacing w:after="0" w:line="240" w:lineRule="auto"/>
                    <w:jc w:val="center"/>
                    <w:rPr>
                      <w:rFonts w:ascii="Arial" w:eastAsia="Times New Roman" w:hAnsi="Arial" w:cs="Arial"/>
                      <w:color w:val="000000" w:themeColor="text1"/>
                      <w:sz w:val="16"/>
                      <w:szCs w:val="16"/>
                      <w:lang w:val="hr-HR" w:eastAsia="hr-HR"/>
                    </w:rPr>
                  </w:pPr>
                  <w:r w:rsidRPr="00C47792">
                    <w:rPr>
                      <w:rFonts w:ascii="Arial" w:eastAsia="Times New Roman" w:hAnsi="Arial" w:cs="Arial"/>
                      <w:color w:val="000000" w:themeColor="text1"/>
                      <w:sz w:val="16"/>
                      <w:szCs w:val="16"/>
                      <w:lang w:val="hr-HR" w:eastAsia="hr-HR"/>
                    </w:rPr>
                    <w:t>Promjenjivi dio kamate čini 6mjesečni EURIBOR za EUR ili 6mjesečni NRS2 za HRK, a fiksni dio nepromjenjiv je za cijelo vrijeme trajanja kredita</w:t>
                  </w:r>
                </w:p>
              </w:tc>
            </w:tr>
            <w:tr w:rsidR="00645EDE" w:rsidRPr="00A92783" w:rsidTr="00DB3F40">
              <w:trPr>
                <w:trHeight w:val="454"/>
              </w:trPr>
              <w:tc>
                <w:tcPr>
                  <w:tcW w:w="3528" w:type="dxa"/>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rsidR="00645EDE" w:rsidRPr="00EB0B28" w:rsidRDefault="00645EDE" w:rsidP="00E642B3">
                  <w:pPr>
                    <w:framePr w:hSpace="180" w:wrap="around" w:hAnchor="margin" w:y="-750"/>
                    <w:spacing w:after="0" w:line="240" w:lineRule="auto"/>
                    <w:rPr>
                      <w:rFonts w:ascii="Arial" w:eastAsia="Times New Roman" w:hAnsi="Arial" w:cs="Arial"/>
                      <w:b/>
                      <w:bCs/>
                      <w:color w:val="000000"/>
                      <w:sz w:val="16"/>
                      <w:szCs w:val="16"/>
                      <w:lang w:val="hr-HR" w:eastAsia="hr-HR"/>
                    </w:rPr>
                  </w:pPr>
                </w:p>
              </w:tc>
              <w:tc>
                <w:tcPr>
                  <w:tcW w:w="4921" w:type="dxa"/>
                  <w:gridSpan w:val="2"/>
                  <w:tcBorders>
                    <w:top w:val="single" w:sz="8" w:space="0" w:color="auto"/>
                    <w:left w:val="nil"/>
                    <w:bottom w:val="single" w:sz="8" w:space="0" w:color="auto"/>
                    <w:right w:val="single" w:sz="8" w:space="0" w:color="000000"/>
                  </w:tcBorders>
                  <w:shd w:val="clear" w:color="auto" w:fill="auto"/>
                  <w:vAlign w:val="center"/>
                  <w:hideMark/>
                </w:tcPr>
                <w:p w:rsidR="00645EDE" w:rsidRPr="00C47792" w:rsidRDefault="00645EDE" w:rsidP="00E642B3">
                  <w:pPr>
                    <w:framePr w:hSpace="180" w:wrap="around" w:hAnchor="margin" w:y="-750"/>
                    <w:spacing w:after="0" w:line="240" w:lineRule="auto"/>
                    <w:rPr>
                      <w:rFonts w:ascii="Arial" w:eastAsia="Times New Roman" w:hAnsi="Arial" w:cs="Arial"/>
                      <w:color w:val="000000" w:themeColor="text1"/>
                      <w:sz w:val="16"/>
                      <w:szCs w:val="16"/>
                      <w:lang w:val="hr-HR" w:eastAsia="hr-HR"/>
                    </w:rPr>
                  </w:pPr>
                  <w:r w:rsidRPr="00C47792">
                    <w:rPr>
                      <w:rFonts w:ascii="Arial" w:eastAsia="Times New Roman" w:hAnsi="Arial" w:cs="Arial"/>
                      <w:color w:val="000000" w:themeColor="text1"/>
                      <w:sz w:val="16"/>
                      <w:szCs w:val="16"/>
                      <w:lang w:val="hr-HR" w:eastAsia="hr-HR"/>
                    </w:rPr>
                    <w:t xml:space="preserve">Na dan </w:t>
                  </w:r>
                  <w:r w:rsidR="00EC0B38">
                    <w:rPr>
                      <w:rFonts w:ascii="Arial" w:eastAsia="Times New Roman" w:hAnsi="Arial" w:cs="Arial"/>
                      <w:color w:val="000000" w:themeColor="text1"/>
                      <w:sz w:val="16"/>
                      <w:szCs w:val="16"/>
                      <w:lang w:val="hr-HR" w:eastAsia="hr-HR"/>
                    </w:rPr>
                    <w:t>31</w:t>
                  </w:r>
                  <w:r w:rsidR="00D54570">
                    <w:rPr>
                      <w:rFonts w:ascii="Arial" w:eastAsia="Times New Roman" w:hAnsi="Arial" w:cs="Arial"/>
                      <w:color w:val="000000" w:themeColor="text1"/>
                      <w:sz w:val="16"/>
                      <w:szCs w:val="16"/>
                      <w:lang w:val="hr-HR" w:eastAsia="hr-HR"/>
                    </w:rPr>
                    <w:t>.0</w:t>
                  </w:r>
                  <w:r w:rsidR="00EC0B38">
                    <w:rPr>
                      <w:rFonts w:ascii="Arial" w:eastAsia="Times New Roman" w:hAnsi="Arial" w:cs="Arial"/>
                      <w:color w:val="000000" w:themeColor="text1"/>
                      <w:sz w:val="16"/>
                      <w:szCs w:val="16"/>
                      <w:lang w:val="hr-HR" w:eastAsia="hr-HR"/>
                    </w:rPr>
                    <w:t>8</w:t>
                  </w:r>
                  <w:r w:rsidR="00D54570">
                    <w:rPr>
                      <w:rFonts w:ascii="Arial" w:eastAsia="Times New Roman" w:hAnsi="Arial" w:cs="Arial"/>
                      <w:color w:val="000000" w:themeColor="text1"/>
                      <w:sz w:val="16"/>
                      <w:szCs w:val="16"/>
                      <w:lang w:val="hr-HR" w:eastAsia="hr-HR"/>
                    </w:rPr>
                    <w:t>.</w:t>
                  </w:r>
                  <w:r w:rsidR="00746578" w:rsidRPr="00C47792">
                    <w:rPr>
                      <w:rFonts w:ascii="Arial" w:eastAsia="Times New Roman" w:hAnsi="Arial" w:cs="Arial"/>
                      <w:color w:val="000000" w:themeColor="text1"/>
                      <w:sz w:val="16"/>
                      <w:szCs w:val="16"/>
                      <w:lang w:val="hr-HR" w:eastAsia="hr-HR"/>
                    </w:rPr>
                    <w:t>202</w:t>
                  </w:r>
                  <w:r w:rsidR="00D54570">
                    <w:rPr>
                      <w:rFonts w:ascii="Arial" w:eastAsia="Times New Roman" w:hAnsi="Arial" w:cs="Arial"/>
                      <w:color w:val="000000" w:themeColor="text1"/>
                      <w:sz w:val="16"/>
                      <w:szCs w:val="16"/>
                      <w:lang w:val="hr-HR" w:eastAsia="hr-HR"/>
                    </w:rPr>
                    <w:t>1</w:t>
                  </w:r>
                  <w:r w:rsidR="00746578" w:rsidRPr="00C47792">
                    <w:rPr>
                      <w:rFonts w:ascii="Arial" w:eastAsia="Times New Roman" w:hAnsi="Arial" w:cs="Arial"/>
                      <w:color w:val="000000" w:themeColor="text1"/>
                      <w:sz w:val="16"/>
                      <w:szCs w:val="16"/>
                      <w:lang w:val="hr-HR" w:eastAsia="hr-HR"/>
                    </w:rPr>
                    <w:t>.</w:t>
                  </w:r>
                  <w:r w:rsidRPr="00C47792">
                    <w:rPr>
                      <w:rFonts w:ascii="Arial" w:eastAsia="Times New Roman" w:hAnsi="Arial" w:cs="Arial"/>
                      <w:color w:val="000000" w:themeColor="text1"/>
                      <w:sz w:val="16"/>
                      <w:szCs w:val="16"/>
                      <w:lang w:val="hr-HR" w:eastAsia="hr-HR"/>
                    </w:rPr>
                    <w:t xml:space="preserve"> visina 6 mjesečnog (6M) EURIBORA iznosi</w:t>
                  </w:r>
                </w:p>
                <w:p w:rsidR="00645EDE" w:rsidRPr="00C47792" w:rsidRDefault="00645EDE" w:rsidP="00E642B3">
                  <w:pPr>
                    <w:framePr w:hSpace="180" w:wrap="around" w:hAnchor="margin" w:y="-750"/>
                    <w:spacing w:after="0" w:line="240" w:lineRule="auto"/>
                    <w:rPr>
                      <w:rFonts w:ascii="Arial" w:eastAsia="Times New Roman" w:hAnsi="Arial" w:cs="Arial"/>
                      <w:color w:val="000000" w:themeColor="text1"/>
                      <w:sz w:val="16"/>
                      <w:szCs w:val="16"/>
                      <w:lang w:val="hr-HR" w:eastAsia="hr-HR"/>
                    </w:rPr>
                  </w:pPr>
                  <w:r w:rsidRPr="00C47792">
                    <w:rPr>
                      <w:rFonts w:ascii="Arial" w:eastAsia="Times New Roman" w:hAnsi="Arial" w:cs="Arial"/>
                      <w:color w:val="000000" w:themeColor="text1"/>
                      <w:sz w:val="16"/>
                      <w:szCs w:val="16"/>
                      <w:lang w:val="hr-HR" w:eastAsia="hr-HR"/>
                    </w:rPr>
                    <w:t xml:space="preserve"> -0,</w:t>
                  </w:r>
                  <w:r w:rsidR="00D54570">
                    <w:rPr>
                      <w:rFonts w:ascii="Arial" w:eastAsia="Times New Roman" w:hAnsi="Arial" w:cs="Arial"/>
                      <w:color w:val="000000" w:themeColor="text1"/>
                      <w:sz w:val="16"/>
                      <w:szCs w:val="16"/>
                      <w:lang w:val="hr-HR" w:eastAsia="hr-HR"/>
                    </w:rPr>
                    <w:t>5</w:t>
                  </w:r>
                  <w:r w:rsidR="00EC0B38">
                    <w:rPr>
                      <w:rFonts w:ascii="Arial" w:eastAsia="Times New Roman" w:hAnsi="Arial" w:cs="Arial"/>
                      <w:color w:val="000000" w:themeColor="text1"/>
                      <w:sz w:val="16"/>
                      <w:szCs w:val="16"/>
                      <w:lang w:val="hr-HR" w:eastAsia="hr-HR"/>
                    </w:rPr>
                    <w:t>3</w:t>
                  </w:r>
                  <w:r w:rsidRPr="00C47792">
                    <w:rPr>
                      <w:rFonts w:ascii="Arial" w:eastAsia="Times New Roman" w:hAnsi="Arial" w:cs="Arial"/>
                      <w:color w:val="000000" w:themeColor="text1"/>
                      <w:sz w:val="16"/>
                      <w:szCs w:val="16"/>
                      <w:lang w:val="hr-HR" w:eastAsia="hr-HR"/>
                    </w:rPr>
                    <w:t>%, a visina 6 mjesečnog (6M) NRS2 za HRK iznosi 0,</w:t>
                  </w:r>
                  <w:r w:rsidR="00EC0B38">
                    <w:rPr>
                      <w:rFonts w:ascii="Arial" w:eastAsia="Times New Roman" w:hAnsi="Arial" w:cs="Arial"/>
                      <w:color w:val="000000" w:themeColor="text1"/>
                      <w:sz w:val="16"/>
                      <w:szCs w:val="16"/>
                      <w:lang w:val="hr-HR" w:eastAsia="hr-HR"/>
                    </w:rPr>
                    <w:t>08</w:t>
                  </w:r>
                  <w:r w:rsidRPr="00C47792">
                    <w:rPr>
                      <w:rFonts w:ascii="Arial" w:eastAsia="Times New Roman" w:hAnsi="Arial" w:cs="Arial"/>
                      <w:color w:val="000000" w:themeColor="text1"/>
                      <w:sz w:val="16"/>
                      <w:szCs w:val="16"/>
                      <w:lang w:val="hr-HR" w:eastAsia="hr-HR"/>
                    </w:rPr>
                    <w:t>%</w:t>
                  </w:r>
                </w:p>
              </w:tc>
            </w:tr>
            <w:tr w:rsidR="00645EDE" w:rsidRPr="00A92783" w:rsidTr="00DB3F40">
              <w:trPr>
                <w:trHeight w:val="354"/>
              </w:trPr>
              <w:tc>
                <w:tcPr>
                  <w:tcW w:w="3528" w:type="dxa"/>
                  <w:tcBorders>
                    <w:top w:val="nil"/>
                    <w:left w:val="single" w:sz="8" w:space="0" w:color="auto"/>
                    <w:bottom w:val="single" w:sz="8" w:space="0" w:color="auto"/>
                    <w:right w:val="single" w:sz="8" w:space="0" w:color="auto"/>
                  </w:tcBorders>
                  <w:shd w:val="clear" w:color="auto" w:fill="D6E3BC" w:themeFill="accent3" w:themeFillTint="66"/>
                  <w:vAlign w:val="center"/>
                  <w:hideMark/>
                </w:tcPr>
                <w:p w:rsidR="00645EDE" w:rsidRPr="00EB0B28" w:rsidRDefault="00645EDE" w:rsidP="00E642B3">
                  <w:pPr>
                    <w:framePr w:hSpace="180" w:wrap="around" w:hAnchor="margin" w:y="-750"/>
                    <w:spacing w:after="0" w:line="240" w:lineRule="auto"/>
                    <w:rPr>
                      <w:rFonts w:ascii="Arial" w:eastAsia="Times New Roman" w:hAnsi="Arial" w:cs="Arial"/>
                      <w:b/>
                      <w:bCs/>
                      <w:color w:val="000000"/>
                      <w:sz w:val="16"/>
                      <w:szCs w:val="16"/>
                      <w:lang w:val="hr-HR" w:eastAsia="hr-HR"/>
                    </w:rPr>
                  </w:pPr>
                  <w:r w:rsidRPr="00EB0B28">
                    <w:rPr>
                      <w:rFonts w:ascii="Arial" w:eastAsia="Times New Roman" w:hAnsi="Arial" w:cs="Arial"/>
                      <w:b/>
                      <w:bCs/>
                      <w:color w:val="000000"/>
                      <w:sz w:val="16"/>
                      <w:szCs w:val="16"/>
                      <w:lang w:val="hr-HR" w:eastAsia="hr-HR"/>
                    </w:rPr>
                    <w:t>FIKSNA KAMATA</w:t>
                  </w:r>
                </w:p>
              </w:tc>
              <w:tc>
                <w:tcPr>
                  <w:tcW w:w="4921" w:type="dxa"/>
                  <w:gridSpan w:val="2"/>
                  <w:tcBorders>
                    <w:top w:val="single" w:sz="8" w:space="0" w:color="auto"/>
                    <w:left w:val="nil"/>
                    <w:bottom w:val="single" w:sz="8" w:space="0" w:color="auto"/>
                    <w:right w:val="single" w:sz="8" w:space="0" w:color="000000"/>
                  </w:tcBorders>
                  <w:shd w:val="clear" w:color="auto" w:fill="auto"/>
                  <w:vAlign w:val="center"/>
                  <w:hideMark/>
                </w:tcPr>
                <w:p w:rsidR="00645EDE" w:rsidRPr="00C47792" w:rsidRDefault="00645EDE" w:rsidP="00E642B3">
                  <w:pPr>
                    <w:framePr w:hSpace="180" w:wrap="around" w:hAnchor="margin" w:y="-750"/>
                    <w:spacing w:after="0" w:line="240" w:lineRule="auto"/>
                    <w:jc w:val="center"/>
                    <w:rPr>
                      <w:rFonts w:ascii="Arial" w:eastAsia="Times New Roman" w:hAnsi="Arial" w:cs="Arial"/>
                      <w:bCs/>
                      <w:color w:val="000000" w:themeColor="text1"/>
                      <w:sz w:val="16"/>
                      <w:szCs w:val="16"/>
                      <w:lang w:val="hr-HR" w:eastAsia="hr-HR"/>
                    </w:rPr>
                  </w:pPr>
                  <w:r w:rsidRPr="00C47792">
                    <w:rPr>
                      <w:rFonts w:ascii="Arial" w:eastAsia="Times New Roman" w:hAnsi="Arial" w:cs="Arial"/>
                      <w:bCs/>
                      <w:color w:val="000000" w:themeColor="text1"/>
                      <w:sz w:val="16"/>
                      <w:szCs w:val="16"/>
                      <w:lang w:val="hr-HR" w:eastAsia="hr-HR"/>
                    </w:rPr>
                    <w:t xml:space="preserve">Fiksna kamatna stopa za cijelo razdoblje otplate kredita </w:t>
                  </w:r>
                </w:p>
              </w:tc>
            </w:tr>
            <w:tr w:rsidR="00C47792" w:rsidRPr="00A92783" w:rsidTr="0000558F">
              <w:trPr>
                <w:trHeight w:val="682"/>
              </w:trPr>
              <w:tc>
                <w:tcPr>
                  <w:tcW w:w="8449" w:type="dxa"/>
                  <w:gridSpan w:val="3"/>
                  <w:tcBorders>
                    <w:top w:val="nil"/>
                    <w:left w:val="single" w:sz="8" w:space="0" w:color="auto"/>
                    <w:bottom w:val="single" w:sz="4" w:space="0" w:color="auto"/>
                    <w:right w:val="single" w:sz="8" w:space="0" w:color="000000"/>
                  </w:tcBorders>
                  <w:shd w:val="clear" w:color="auto" w:fill="D9D9D9" w:themeFill="background1" w:themeFillShade="D9"/>
                  <w:vAlign w:val="center"/>
                  <w:hideMark/>
                </w:tcPr>
                <w:p w:rsidR="00C47792" w:rsidRPr="00C47792" w:rsidRDefault="00C47792" w:rsidP="00E642B3">
                  <w:pPr>
                    <w:framePr w:hSpace="180" w:wrap="around" w:hAnchor="margin" w:y="-750"/>
                    <w:autoSpaceDE w:val="0"/>
                    <w:autoSpaceDN w:val="0"/>
                    <w:adjustRightInd w:val="0"/>
                    <w:rPr>
                      <w:rFonts w:ascii="Arial" w:hAnsi="Arial" w:cs="Arial"/>
                      <w:color w:val="000000" w:themeColor="text1"/>
                      <w:sz w:val="16"/>
                      <w:lang w:val="hr-HR"/>
                    </w:rPr>
                  </w:pPr>
                  <w:r w:rsidRPr="00C47792">
                    <w:rPr>
                      <w:rFonts w:ascii="Arial" w:eastAsia="Times New Roman" w:hAnsi="Arial" w:cs="Arial"/>
                      <w:b/>
                      <w:bCs/>
                      <w:color w:val="000000" w:themeColor="text1"/>
                      <w:sz w:val="16"/>
                      <w:vertAlign w:val="superscript"/>
                      <w:lang w:val="hr-HR" w:eastAsia="hr-HR"/>
                    </w:rPr>
                    <w:t>1</w:t>
                  </w:r>
                  <w:r w:rsidRPr="00C47792">
                    <w:rPr>
                      <w:rFonts w:ascii="Arial" w:hAnsi="Arial" w:cs="Arial"/>
                      <w:color w:val="000000" w:themeColor="text1"/>
                      <w:sz w:val="16"/>
                      <w:lang w:val="hr-HR"/>
                    </w:rPr>
                    <w:t xml:space="preserve">  Visina kamatne stope ovisi o individualnom odnosu Klijenta i Kreditora.  Individualni odnos Klijenta i Kreditora temelji se na statusu primarnog Klijenta odnosno statusu primarnog Klijenta uz radni odnos kod poslodavca koji je strateški partner Kreditora,  predaji zahtjeva za kredit putem web kanala te procjeni kreditnog rizika Klijenta.  Status primarnog Klijenta podrazumijeva: Klijente s otvorenim tekućim računom u Sberbank d.d. i redovnom priljevu mjesečnih primanja, te Klijente u postupku otvaranja tekućeg računa za primitak redovnih primanja. </w:t>
                  </w:r>
                </w:p>
                <w:p w:rsidR="00C47792" w:rsidRPr="00C47792" w:rsidRDefault="00C47792" w:rsidP="00E642B3">
                  <w:pPr>
                    <w:framePr w:hSpace="180" w:wrap="around" w:hAnchor="margin" w:y="-750"/>
                    <w:autoSpaceDE w:val="0"/>
                    <w:autoSpaceDN w:val="0"/>
                    <w:adjustRightInd w:val="0"/>
                    <w:spacing w:after="240" w:line="240" w:lineRule="auto"/>
                    <w:rPr>
                      <w:rFonts w:ascii="Arial" w:eastAsia="Times New Roman" w:hAnsi="Arial" w:cs="Arial"/>
                      <w:color w:val="000000" w:themeColor="text1"/>
                      <w:sz w:val="16"/>
                      <w:szCs w:val="16"/>
                      <w:lang w:val="hr-HR" w:eastAsia="hr-HR"/>
                    </w:rPr>
                  </w:pPr>
                  <w:r w:rsidRPr="00C47792">
                    <w:rPr>
                      <w:rFonts w:ascii="Arial" w:eastAsia="Times New Roman" w:hAnsi="Arial" w:cs="Arial"/>
                      <w:b/>
                      <w:color w:val="000000" w:themeColor="text1"/>
                      <w:sz w:val="16"/>
                      <w:szCs w:val="16"/>
                      <w:vertAlign w:val="superscript"/>
                      <w:lang w:val="hr-HR" w:eastAsia="hr-HR"/>
                    </w:rPr>
                    <w:t>2</w:t>
                  </w:r>
                  <w:r w:rsidRPr="00C47792">
                    <w:rPr>
                      <w:rFonts w:ascii="Arial" w:eastAsia="Times New Roman" w:hAnsi="Arial" w:cs="Arial"/>
                      <w:color w:val="000000" w:themeColor="text1"/>
                      <w:sz w:val="16"/>
                      <w:szCs w:val="16"/>
                      <w:lang w:val="hr-HR" w:eastAsia="hr-HR"/>
                    </w:rPr>
                    <w:t xml:space="preserve"> EKS</w:t>
                  </w:r>
                  <w:r w:rsidR="00DB3F40">
                    <w:rPr>
                      <w:rFonts w:ascii="Arial" w:eastAsia="Times New Roman" w:hAnsi="Arial" w:cs="Arial"/>
                      <w:color w:val="000000" w:themeColor="text1"/>
                      <w:sz w:val="16"/>
                      <w:szCs w:val="16"/>
                      <w:lang w:val="hr-HR" w:eastAsia="hr-HR"/>
                    </w:rPr>
                    <w:t xml:space="preserve"> (efektivna kamatna stopa)</w:t>
                  </w:r>
                  <w:r w:rsidRPr="00C47792">
                    <w:rPr>
                      <w:rFonts w:ascii="Arial" w:eastAsia="Times New Roman" w:hAnsi="Arial" w:cs="Arial"/>
                      <w:color w:val="000000" w:themeColor="text1"/>
                      <w:sz w:val="16"/>
                      <w:szCs w:val="16"/>
                      <w:lang w:val="hr-HR" w:eastAsia="hr-HR"/>
                    </w:rPr>
                    <w:t xml:space="preserve"> je izračunat za iznos kredita od 10.000 EUR/75.000 HRK na 10 godina, uz kamatnu stopu od 4,90% godišnje (fiksna ili promjenjiva), a za klijenta koji  ima status  primarnog uz radni odnos kod poslodavca koji je strateški partner Kreditora, uzevši u obzir procjenu kreditnog rizika klijenta.</w:t>
                  </w:r>
                </w:p>
                <w:p w:rsidR="00C47792" w:rsidRPr="00C47792" w:rsidRDefault="00C47792" w:rsidP="00E642B3">
                  <w:pPr>
                    <w:framePr w:hSpace="180" w:wrap="around" w:hAnchor="margin" w:y="-750"/>
                    <w:autoSpaceDE w:val="0"/>
                    <w:autoSpaceDN w:val="0"/>
                    <w:adjustRightInd w:val="0"/>
                    <w:spacing w:after="240" w:line="240" w:lineRule="auto"/>
                    <w:rPr>
                      <w:rFonts w:ascii="Arial" w:eastAsia="Times New Roman" w:hAnsi="Arial" w:cs="Arial"/>
                      <w:color w:val="000000" w:themeColor="text1"/>
                      <w:sz w:val="16"/>
                      <w:szCs w:val="16"/>
                      <w:lang w:val="hr-HR" w:eastAsia="hr-HR"/>
                    </w:rPr>
                  </w:pPr>
                  <w:r w:rsidRPr="00C47792">
                    <w:rPr>
                      <w:rFonts w:ascii="Arial" w:eastAsia="Times New Roman" w:hAnsi="Arial" w:cs="Arial"/>
                      <w:b/>
                      <w:color w:val="000000" w:themeColor="text1"/>
                      <w:sz w:val="16"/>
                      <w:szCs w:val="16"/>
                      <w:vertAlign w:val="superscript"/>
                      <w:lang w:val="hr-HR" w:eastAsia="hr-HR"/>
                    </w:rPr>
                    <w:t>3</w:t>
                  </w:r>
                  <w:r w:rsidRPr="00C47792">
                    <w:rPr>
                      <w:rFonts w:ascii="Arial" w:eastAsia="Times New Roman" w:hAnsi="Arial" w:cs="Arial"/>
                      <w:color w:val="000000" w:themeColor="text1"/>
                      <w:sz w:val="16"/>
                      <w:szCs w:val="16"/>
                      <w:lang w:val="hr-HR" w:eastAsia="hr-HR"/>
                    </w:rPr>
                    <w:t xml:space="preserve"> EKS</w:t>
                  </w:r>
                  <w:r w:rsidR="00DB3F40">
                    <w:rPr>
                      <w:rFonts w:ascii="Arial" w:eastAsia="Times New Roman" w:hAnsi="Arial" w:cs="Arial"/>
                      <w:color w:val="000000" w:themeColor="text1"/>
                      <w:sz w:val="16"/>
                      <w:szCs w:val="16"/>
                      <w:lang w:val="hr-HR" w:eastAsia="hr-HR"/>
                    </w:rPr>
                    <w:t xml:space="preserve"> (efektivna kamatna stopa)</w:t>
                  </w:r>
                  <w:r w:rsidRPr="00C47792">
                    <w:rPr>
                      <w:rFonts w:ascii="Arial" w:eastAsia="Times New Roman" w:hAnsi="Arial" w:cs="Arial"/>
                      <w:color w:val="000000" w:themeColor="text1"/>
                      <w:sz w:val="16"/>
                      <w:szCs w:val="16"/>
                      <w:lang w:val="hr-HR" w:eastAsia="hr-HR"/>
                    </w:rPr>
                    <w:t xml:space="preserve"> je izračunat za iznos kredita od 10.000 EUR/75.000 HRK na 10 godina, uz kamatnu stopu od 6,60% godišnje (fiksna ili promjenjiva), uzevši u obzir procjenu kreditnog rizika klijenta</w:t>
                  </w:r>
                </w:p>
              </w:tc>
            </w:tr>
          </w:tbl>
          <w:p w:rsidR="00B4712D" w:rsidRPr="00B4712D" w:rsidRDefault="00B4712D" w:rsidP="00191F29">
            <w:pPr>
              <w:autoSpaceDE w:val="0"/>
              <w:autoSpaceDN w:val="0"/>
              <w:adjustRightInd w:val="0"/>
              <w:rPr>
                <w:rFonts w:ascii="Arial" w:eastAsia="Times New Roman" w:hAnsi="Arial" w:cs="Arial"/>
                <w:b/>
                <w:bCs/>
                <w:sz w:val="14"/>
                <w:vertAlign w:val="superscript"/>
                <w:lang w:val="hr-HR" w:eastAsia="hr-HR"/>
              </w:rPr>
            </w:pPr>
          </w:p>
          <w:p w:rsidR="00B4712D" w:rsidRPr="00191F29" w:rsidRDefault="00B4712D" w:rsidP="00C47792">
            <w:pPr>
              <w:autoSpaceDE w:val="0"/>
              <w:autoSpaceDN w:val="0"/>
              <w:adjustRightInd w:val="0"/>
              <w:rPr>
                <w:rFonts w:ascii="Arial" w:hAnsi="Arial" w:cs="Arial"/>
                <w:sz w:val="16"/>
                <w:lang w:val="hr-HR"/>
              </w:rPr>
            </w:pPr>
          </w:p>
        </w:tc>
      </w:tr>
      <w:tr w:rsidR="00E3528F" w:rsidRPr="00A92783" w:rsidTr="00A92783">
        <w:trPr>
          <w:trHeight w:val="1469"/>
        </w:trPr>
        <w:tc>
          <w:tcPr>
            <w:tcW w:w="725" w:type="pct"/>
          </w:tcPr>
          <w:p w:rsidR="00186FEE" w:rsidRDefault="0063730A" w:rsidP="00F846FC">
            <w:pPr>
              <w:rPr>
                <w:rFonts w:ascii="Arial" w:hAnsi="Arial" w:cs="Arial"/>
                <w:b/>
                <w:sz w:val="18"/>
                <w:szCs w:val="18"/>
              </w:rPr>
            </w:pPr>
            <w:r w:rsidRPr="00517506">
              <w:rPr>
                <w:rFonts w:ascii="Arial" w:hAnsi="Arial" w:cs="Arial"/>
                <w:b/>
                <w:sz w:val="18"/>
                <w:szCs w:val="18"/>
              </w:rPr>
              <w:lastRenderedPageBreak/>
              <w:t>Korekcija kamatne stope</w:t>
            </w:r>
          </w:p>
          <w:p w:rsidR="00F53665" w:rsidRPr="00517506" w:rsidRDefault="00F53665" w:rsidP="00F846FC">
            <w:pPr>
              <w:rPr>
                <w:rFonts w:ascii="Arial" w:hAnsi="Arial" w:cs="Arial"/>
                <w:b/>
                <w:sz w:val="18"/>
                <w:szCs w:val="18"/>
              </w:rPr>
            </w:pPr>
          </w:p>
        </w:tc>
        <w:tc>
          <w:tcPr>
            <w:tcW w:w="4275" w:type="pct"/>
          </w:tcPr>
          <w:p w:rsidR="004B06D7" w:rsidRPr="00524997" w:rsidRDefault="004B06D7" w:rsidP="00DC7DF2">
            <w:pPr>
              <w:autoSpaceDE w:val="0"/>
              <w:autoSpaceDN w:val="0"/>
              <w:adjustRightInd w:val="0"/>
              <w:rPr>
                <w:rFonts w:ascii="Helv" w:hAnsi="Helv" w:cs="Helv"/>
                <w:color w:val="000000"/>
                <w:sz w:val="18"/>
                <w:szCs w:val="18"/>
                <w:lang w:val="it-IT"/>
              </w:rPr>
            </w:pPr>
          </w:p>
          <w:p w:rsidR="00351268" w:rsidRPr="00351268" w:rsidRDefault="00351268" w:rsidP="00351268">
            <w:pPr>
              <w:rPr>
                <w:rFonts w:ascii="Arial" w:hAnsi="Arial" w:cs="Arial"/>
                <w:sz w:val="18"/>
                <w:szCs w:val="18"/>
                <w:lang w:val="it-IT"/>
              </w:rPr>
            </w:pPr>
            <w:r w:rsidRPr="00351268">
              <w:rPr>
                <w:rFonts w:ascii="Arial" w:hAnsi="Arial" w:cs="Arial"/>
                <w:sz w:val="18"/>
                <w:szCs w:val="18"/>
                <w:lang w:val="it-IT"/>
              </w:rPr>
              <w:t>Kamatna stopa se može umanjiti za bonus u visini od 0,60 p.p. ostvaren temeljem statusa primarnog klijenta, te 0,90%</w:t>
            </w:r>
            <w:r>
              <w:rPr>
                <w:rFonts w:ascii="Arial" w:hAnsi="Arial" w:cs="Arial"/>
                <w:sz w:val="18"/>
                <w:szCs w:val="18"/>
                <w:lang w:val="it-IT"/>
              </w:rPr>
              <w:t xml:space="preserve"> </w:t>
            </w:r>
            <w:r w:rsidRPr="00351268">
              <w:rPr>
                <w:rFonts w:ascii="Arial" w:hAnsi="Arial" w:cs="Arial"/>
                <w:sz w:val="18"/>
                <w:szCs w:val="18"/>
                <w:lang w:val="it-IT"/>
              </w:rPr>
              <w:t>-</w:t>
            </w:r>
            <w:r>
              <w:rPr>
                <w:rFonts w:ascii="Arial" w:hAnsi="Arial" w:cs="Arial"/>
                <w:sz w:val="18"/>
                <w:szCs w:val="18"/>
                <w:lang w:val="it-IT"/>
              </w:rPr>
              <w:t xml:space="preserve"> </w:t>
            </w:r>
            <w:r w:rsidRPr="00351268">
              <w:rPr>
                <w:rFonts w:ascii="Arial" w:hAnsi="Arial" w:cs="Arial"/>
                <w:sz w:val="18"/>
                <w:szCs w:val="18"/>
                <w:lang w:val="it-IT"/>
              </w:rPr>
              <w:t>1,10% ostvaren temeljem stausa primarnog klijenta uz radni odnos kod poslodavca koji je strateški partner Kreditora.</w:t>
            </w:r>
          </w:p>
          <w:p w:rsidR="00351268" w:rsidRPr="00351268" w:rsidRDefault="00351268" w:rsidP="00351268">
            <w:pPr>
              <w:rPr>
                <w:rFonts w:ascii="Arial" w:hAnsi="Arial" w:cs="Arial"/>
                <w:sz w:val="18"/>
                <w:szCs w:val="18"/>
                <w:lang w:val="it-IT"/>
              </w:rPr>
            </w:pPr>
            <w:r w:rsidRPr="00351268">
              <w:rPr>
                <w:rFonts w:ascii="Arial" w:hAnsi="Arial" w:cs="Arial"/>
                <w:sz w:val="18"/>
                <w:szCs w:val="18"/>
                <w:lang w:val="it-IT"/>
              </w:rPr>
              <w:t>Kontrola redovnih priljeva na tekući račun vršiti će se mjesečno.</w:t>
            </w:r>
          </w:p>
          <w:p w:rsidR="00351268" w:rsidRPr="00351268" w:rsidRDefault="00351268" w:rsidP="00351268">
            <w:pPr>
              <w:rPr>
                <w:rFonts w:ascii="Arial" w:hAnsi="Arial" w:cs="Arial"/>
                <w:sz w:val="18"/>
                <w:szCs w:val="18"/>
                <w:lang w:val="it-IT"/>
              </w:rPr>
            </w:pPr>
          </w:p>
          <w:p w:rsidR="00351268" w:rsidRPr="00351268" w:rsidRDefault="00351268" w:rsidP="00351268">
            <w:pPr>
              <w:rPr>
                <w:rFonts w:ascii="Arial" w:hAnsi="Arial" w:cs="Arial"/>
                <w:sz w:val="18"/>
                <w:szCs w:val="18"/>
                <w:lang w:val="it-IT"/>
              </w:rPr>
            </w:pPr>
            <w:r w:rsidRPr="00351268">
              <w:rPr>
                <w:rFonts w:ascii="Arial" w:hAnsi="Arial" w:cs="Arial"/>
                <w:sz w:val="18"/>
                <w:szCs w:val="18"/>
                <w:lang w:val="it-IT"/>
              </w:rPr>
              <w:t>Kamatna stopa će se povećati sukladno Odluci o kamatama i naknadama Banke, odnosno ostvareni bonus se gubi u slučaju da:</w:t>
            </w:r>
          </w:p>
          <w:p w:rsidR="00351268" w:rsidRPr="00351268" w:rsidRDefault="00351268" w:rsidP="00351268">
            <w:pPr>
              <w:rPr>
                <w:rFonts w:ascii="Arial" w:hAnsi="Arial" w:cs="Arial"/>
                <w:sz w:val="18"/>
                <w:szCs w:val="18"/>
                <w:lang w:val="it-IT"/>
              </w:rPr>
            </w:pPr>
            <w:r w:rsidRPr="00351268">
              <w:rPr>
                <w:rFonts w:ascii="Arial" w:hAnsi="Arial" w:cs="Arial"/>
                <w:sz w:val="18"/>
                <w:szCs w:val="18"/>
                <w:lang w:val="it-IT"/>
              </w:rPr>
              <w:t xml:space="preserve"> - prvi priljev primanjana tekući račun kod Kreditora nije uslijedio u roku od tri mjeseca od isplate kredita (početka korištenja kredita)</w:t>
            </w:r>
          </w:p>
          <w:p w:rsidR="00351268" w:rsidRPr="00351268" w:rsidRDefault="00351268" w:rsidP="00351268">
            <w:pPr>
              <w:rPr>
                <w:rFonts w:ascii="Arial" w:hAnsi="Arial" w:cs="Arial"/>
                <w:sz w:val="18"/>
                <w:szCs w:val="18"/>
                <w:lang w:val="it-IT"/>
              </w:rPr>
            </w:pPr>
            <w:r w:rsidRPr="00351268">
              <w:rPr>
                <w:rFonts w:ascii="Arial" w:hAnsi="Arial" w:cs="Arial"/>
                <w:sz w:val="18"/>
                <w:szCs w:val="18"/>
                <w:lang w:val="it-IT"/>
              </w:rPr>
              <w:t xml:space="preserve"> - tri mjeseca uzastopce nema priljeva na tekući račun kod Kreditora</w:t>
            </w:r>
          </w:p>
          <w:p w:rsidR="00417950" w:rsidRPr="004B06D7" w:rsidRDefault="00417950" w:rsidP="00417950">
            <w:pPr>
              <w:rPr>
                <w:rFonts w:ascii="Arial" w:hAnsi="Arial" w:cs="Arial"/>
                <w:sz w:val="18"/>
                <w:szCs w:val="18"/>
                <w:lang w:val="it-IT"/>
              </w:rPr>
            </w:pPr>
          </w:p>
        </w:tc>
      </w:tr>
      <w:tr w:rsidR="000F0C14" w:rsidRPr="00A92783" w:rsidTr="00A92783">
        <w:trPr>
          <w:trHeight w:val="2371"/>
        </w:trPr>
        <w:tc>
          <w:tcPr>
            <w:tcW w:w="725" w:type="pct"/>
          </w:tcPr>
          <w:p w:rsidR="000F0C14" w:rsidRPr="00AD2C5B" w:rsidRDefault="000F0C14" w:rsidP="00F846FC">
            <w:pPr>
              <w:rPr>
                <w:rFonts w:ascii="Arial" w:hAnsi="Arial" w:cs="Arial"/>
                <w:b/>
                <w:sz w:val="18"/>
                <w:szCs w:val="18"/>
              </w:rPr>
            </w:pPr>
            <w:r w:rsidRPr="00AD2C5B">
              <w:rPr>
                <w:rFonts w:ascii="Arial" w:hAnsi="Arial" w:cs="Arial"/>
                <w:b/>
                <w:sz w:val="18"/>
                <w:szCs w:val="18"/>
              </w:rPr>
              <w:t>Zatezna kamata</w:t>
            </w:r>
          </w:p>
          <w:p w:rsidR="000F0C14" w:rsidRPr="00D176BD" w:rsidRDefault="000F0C14" w:rsidP="00F846FC">
            <w:pPr>
              <w:rPr>
                <w:rFonts w:ascii="Arial" w:hAnsi="Arial" w:cs="Arial"/>
                <w:sz w:val="18"/>
                <w:szCs w:val="18"/>
              </w:rPr>
            </w:pPr>
          </w:p>
          <w:p w:rsidR="000F0C14" w:rsidRPr="00D176BD" w:rsidRDefault="000F0C14" w:rsidP="00F846FC">
            <w:pPr>
              <w:rPr>
                <w:rFonts w:ascii="Arial" w:hAnsi="Arial" w:cs="Arial"/>
                <w:sz w:val="18"/>
                <w:szCs w:val="18"/>
              </w:rPr>
            </w:pPr>
          </w:p>
          <w:p w:rsidR="000F0C14" w:rsidRPr="00D176BD" w:rsidRDefault="000F0C14" w:rsidP="00F846FC">
            <w:pPr>
              <w:rPr>
                <w:rFonts w:ascii="Arial" w:hAnsi="Arial" w:cs="Arial"/>
                <w:sz w:val="18"/>
                <w:szCs w:val="18"/>
              </w:rPr>
            </w:pPr>
          </w:p>
          <w:p w:rsidR="000F0C14" w:rsidRPr="00D176BD" w:rsidRDefault="000F0C14" w:rsidP="00F846FC">
            <w:pPr>
              <w:rPr>
                <w:rFonts w:ascii="Arial" w:hAnsi="Arial" w:cs="Arial"/>
                <w:sz w:val="18"/>
                <w:szCs w:val="18"/>
              </w:rPr>
            </w:pPr>
          </w:p>
          <w:p w:rsidR="000F0C14" w:rsidRPr="00D176BD" w:rsidRDefault="000F0C14" w:rsidP="00F846FC">
            <w:pPr>
              <w:rPr>
                <w:rFonts w:ascii="Arial" w:hAnsi="Arial" w:cs="Arial"/>
                <w:sz w:val="18"/>
                <w:szCs w:val="18"/>
              </w:rPr>
            </w:pPr>
          </w:p>
          <w:p w:rsidR="000F0C14" w:rsidRPr="00D176BD" w:rsidRDefault="000F0C14" w:rsidP="00F846FC">
            <w:pPr>
              <w:rPr>
                <w:rFonts w:ascii="Arial" w:hAnsi="Arial" w:cs="Arial"/>
                <w:sz w:val="18"/>
                <w:szCs w:val="18"/>
              </w:rPr>
            </w:pPr>
          </w:p>
          <w:p w:rsidR="000F0C14" w:rsidRPr="00D176BD" w:rsidRDefault="000F0C14" w:rsidP="00F846FC">
            <w:pPr>
              <w:rPr>
                <w:rFonts w:ascii="Arial" w:hAnsi="Arial" w:cs="Arial"/>
                <w:sz w:val="18"/>
                <w:szCs w:val="18"/>
              </w:rPr>
            </w:pPr>
          </w:p>
          <w:p w:rsidR="000F0C14" w:rsidRPr="00D176BD" w:rsidRDefault="000F0C14" w:rsidP="00F846FC">
            <w:pPr>
              <w:rPr>
                <w:rFonts w:ascii="Arial" w:hAnsi="Arial" w:cs="Arial"/>
                <w:sz w:val="18"/>
                <w:szCs w:val="18"/>
              </w:rPr>
            </w:pPr>
          </w:p>
          <w:p w:rsidR="000F0C14" w:rsidRPr="00D176BD" w:rsidRDefault="000F0C14" w:rsidP="00F846FC">
            <w:pPr>
              <w:rPr>
                <w:rFonts w:ascii="Arial" w:hAnsi="Arial" w:cs="Arial"/>
                <w:sz w:val="18"/>
                <w:szCs w:val="18"/>
              </w:rPr>
            </w:pPr>
          </w:p>
          <w:p w:rsidR="000F0C14" w:rsidRPr="00D176BD" w:rsidRDefault="000F0C14" w:rsidP="00F846FC">
            <w:pPr>
              <w:rPr>
                <w:rFonts w:ascii="Arial" w:hAnsi="Arial" w:cs="Arial"/>
                <w:sz w:val="18"/>
                <w:szCs w:val="18"/>
              </w:rPr>
            </w:pPr>
          </w:p>
        </w:tc>
        <w:tc>
          <w:tcPr>
            <w:tcW w:w="4275" w:type="pct"/>
          </w:tcPr>
          <w:p w:rsidR="004B06D7" w:rsidRDefault="004B06D7" w:rsidP="00F846FC">
            <w:pPr>
              <w:rPr>
                <w:rFonts w:ascii="Arial" w:hAnsi="Arial" w:cs="Arial"/>
                <w:sz w:val="18"/>
                <w:szCs w:val="18"/>
                <w:lang w:val="it-IT"/>
              </w:rPr>
            </w:pPr>
          </w:p>
          <w:p w:rsidR="000F0C14" w:rsidRPr="004B06D7" w:rsidRDefault="000F0C14" w:rsidP="00F846FC">
            <w:pPr>
              <w:rPr>
                <w:rFonts w:ascii="Arial" w:hAnsi="Arial" w:cs="Arial"/>
                <w:sz w:val="18"/>
                <w:szCs w:val="18"/>
                <w:lang w:val="it-IT"/>
              </w:rPr>
            </w:pPr>
            <w:r w:rsidRPr="004B06D7">
              <w:rPr>
                <w:rFonts w:ascii="Arial" w:hAnsi="Arial" w:cs="Arial"/>
                <w:sz w:val="18"/>
                <w:szCs w:val="18"/>
                <w:lang w:val="it-IT"/>
              </w:rPr>
              <w:t>• U slučaju izostalih uplata obračunava se kamata po dospijeću u visini zakonske zatezne kamatne</w:t>
            </w:r>
          </w:p>
          <w:p w:rsidR="000F0C14" w:rsidRPr="004B06D7" w:rsidRDefault="000F0C14" w:rsidP="00F846FC">
            <w:pPr>
              <w:rPr>
                <w:rFonts w:ascii="Arial" w:hAnsi="Arial" w:cs="Arial"/>
                <w:sz w:val="18"/>
                <w:szCs w:val="18"/>
                <w:lang w:val="it-IT"/>
              </w:rPr>
            </w:pPr>
            <w:r w:rsidRPr="004B06D7">
              <w:rPr>
                <w:rFonts w:ascii="Arial" w:hAnsi="Arial" w:cs="Arial"/>
                <w:sz w:val="18"/>
                <w:szCs w:val="18"/>
                <w:lang w:val="it-IT"/>
              </w:rPr>
              <w:t>• Kamata po dospijeću / zatezna kamata na kredite fizičkim osobama odobrenim kod Banke koji se otplaćuju preko kunskih računa utvrđuje se u visini prosječne kamatne stope na stanja kredita odobrenih na razdoblje dulje od godine dana nefinancijskim trgovačkim društvima izračunate za referentno razdoblje koje prethodi tekućem polugodištu* + 3 p.p., godišnje</w:t>
            </w:r>
          </w:p>
          <w:p w:rsidR="000F0C14" w:rsidRPr="004B06D7" w:rsidRDefault="000F0C14" w:rsidP="00F846FC">
            <w:pPr>
              <w:rPr>
                <w:rFonts w:ascii="Arial" w:hAnsi="Arial" w:cs="Arial"/>
                <w:sz w:val="18"/>
                <w:szCs w:val="18"/>
                <w:lang w:val="it-IT"/>
              </w:rPr>
            </w:pPr>
          </w:p>
          <w:p w:rsidR="000F0C14" w:rsidRPr="004B06D7" w:rsidRDefault="000F0C14" w:rsidP="00F846FC">
            <w:pPr>
              <w:rPr>
                <w:rFonts w:ascii="Arial" w:hAnsi="Arial" w:cs="Arial"/>
                <w:sz w:val="18"/>
                <w:szCs w:val="18"/>
                <w:lang w:val="it-IT"/>
              </w:rPr>
            </w:pPr>
            <w:r w:rsidRPr="004B06D7">
              <w:rPr>
                <w:rFonts w:ascii="Arial" w:hAnsi="Arial" w:cs="Arial"/>
                <w:sz w:val="18"/>
                <w:szCs w:val="18"/>
                <w:lang w:val="it-IT"/>
              </w:rPr>
              <w:t>*Prosječnu kamatnu stopu za referentno razdoblje određuje Hrvatska narodna banka i dužna ju je svakog 1. siječnja i 1. srpnja objaviti u „Narodnim novinama“</w:t>
            </w:r>
          </w:p>
          <w:p w:rsidR="000F0C14" w:rsidRPr="004B06D7" w:rsidRDefault="000F0C14" w:rsidP="00F846FC">
            <w:pPr>
              <w:rPr>
                <w:rFonts w:ascii="Arial" w:hAnsi="Arial" w:cs="Arial"/>
                <w:sz w:val="18"/>
                <w:szCs w:val="18"/>
                <w:lang w:val="it-IT"/>
              </w:rPr>
            </w:pPr>
          </w:p>
          <w:p w:rsidR="00823329" w:rsidRPr="004B06D7" w:rsidRDefault="00D176BD" w:rsidP="00177817">
            <w:pPr>
              <w:rPr>
                <w:rFonts w:ascii="Arial" w:hAnsi="Arial" w:cs="Arial"/>
                <w:sz w:val="18"/>
                <w:szCs w:val="18"/>
                <w:lang w:val="it-IT"/>
              </w:rPr>
            </w:pPr>
            <w:r w:rsidRPr="004B06D7">
              <w:rPr>
                <w:rFonts w:ascii="Arial" w:hAnsi="Arial" w:cs="Arial"/>
                <w:sz w:val="18"/>
                <w:szCs w:val="18"/>
                <w:lang w:val="it-IT"/>
              </w:rPr>
              <w:t>Na</w:t>
            </w:r>
            <w:r w:rsidR="00AD2C5B" w:rsidRPr="004B06D7">
              <w:rPr>
                <w:rFonts w:ascii="Arial" w:hAnsi="Arial" w:cs="Arial"/>
                <w:sz w:val="18"/>
                <w:szCs w:val="18"/>
                <w:lang w:val="it-IT"/>
              </w:rPr>
              <w:t xml:space="preserve"> </w:t>
            </w:r>
            <w:r w:rsidR="002517FB" w:rsidRPr="004B06D7">
              <w:rPr>
                <w:rFonts w:ascii="Arial" w:hAnsi="Arial" w:cs="Arial"/>
                <w:sz w:val="18"/>
                <w:szCs w:val="18"/>
                <w:lang w:val="it-IT"/>
              </w:rPr>
              <w:t>dan izrade Općih inform</w:t>
            </w:r>
            <w:r w:rsidRPr="004B06D7">
              <w:rPr>
                <w:rFonts w:ascii="Arial" w:hAnsi="Arial" w:cs="Arial"/>
                <w:sz w:val="18"/>
                <w:szCs w:val="18"/>
                <w:lang w:val="it-IT"/>
              </w:rPr>
              <w:t xml:space="preserve">acija zatezna kamata iznosi </w:t>
            </w:r>
            <w:r w:rsidR="00393AE4" w:rsidRPr="004B06D7">
              <w:rPr>
                <w:rFonts w:ascii="Arial" w:hAnsi="Arial" w:cs="Arial"/>
                <w:sz w:val="18"/>
                <w:szCs w:val="18"/>
                <w:lang w:val="it-IT"/>
              </w:rPr>
              <w:t>5,</w:t>
            </w:r>
            <w:r w:rsidR="00177817">
              <w:rPr>
                <w:rFonts w:ascii="Arial" w:hAnsi="Arial" w:cs="Arial"/>
                <w:sz w:val="18"/>
                <w:szCs w:val="18"/>
                <w:lang w:val="it-IT"/>
              </w:rPr>
              <w:t>61</w:t>
            </w:r>
            <w:r w:rsidR="00393AE4" w:rsidRPr="004B06D7">
              <w:rPr>
                <w:rFonts w:ascii="Arial" w:hAnsi="Arial" w:cs="Arial"/>
                <w:sz w:val="18"/>
                <w:szCs w:val="18"/>
                <w:lang w:val="it-IT"/>
              </w:rPr>
              <w:t>%</w:t>
            </w:r>
            <w:r w:rsidR="002517FB" w:rsidRPr="004B06D7">
              <w:rPr>
                <w:rFonts w:ascii="Arial" w:hAnsi="Arial" w:cs="Arial"/>
                <w:sz w:val="18"/>
                <w:szCs w:val="18"/>
                <w:lang w:val="it-IT"/>
              </w:rPr>
              <w:t xml:space="preserve"> godišnje.</w:t>
            </w:r>
          </w:p>
        </w:tc>
      </w:tr>
      <w:tr w:rsidR="00A5566A" w:rsidRPr="00A92783" w:rsidTr="00A92783">
        <w:trPr>
          <w:trHeight w:val="85"/>
        </w:trPr>
        <w:tc>
          <w:tcPr>
            <w:tcW w:w="725" w:type="pct"/>
          </w:tcPr>
          <w:p w:rsidR="00A5566A" w:rsidRPr="00517506" w:rsidRDefault="0063730A" w:rsidP="00F846FC">
            <w:pPr>
              <w:rPr>
                <w:rFonts w:ascii="Arial" w:hAnsi="Arial" w:cs="Arial"/>
                <w:b/>
                <w:sz w:val="18"/>
                <w:szCs w:val="18"/>
              </w:rPr>
            </w:pPr>
            <w:r w:rsidRPr="00517506">
              <w:rPr>
                <w:rFonts w:ascii="Arial" w:hAnsi="Arial" w:cs="Arial"/>
                <w:b/>
                <w:sz w:val="18"/>
                <w:szCs w:val="18"/>
              </w:rPr>
              <w:t>Način obračuna kamatne stope</w:t>
            </w:r>
          </w:p>
        </w:tc>
        <w:tc>
          <w:tcPr>
            <w:tcW w:w="4275" w:type="pct"/>
          </w:tcPr>
          <w:p w:rsidR="00822F1D" w:rsidRDefault="00822F1D" w:rsidP="00F846FC">
            <w:pPr>
              <w:rPr>
                <w:rFonts w:ascii="Arial" w:hAnsi="Arial" w:cs="Arial"/>
                <w:sz w:val="18"/>
                <w:szCs w:val="18"/>
                <w:lang w:val="de-DE"/>
              </w:rPr>
            </w:pPr>
          </w:p>
          <w:p w:rsidR="00823329" w:rsidRDefault="0063730A" w:rsidP="00F846FC">
            <w:pPr>
              <w:rPr>
                <w:rFonts w:ascii="Arial" w:hAnsi="Arial" w:cs="Arial"/>
                <w:sz w:val="18"/>
                <w:szCs w:val="18"/>
                <w:lang w:val="de-DE"/>
              </w:rPr>
            </w:pPr>
            <w:r w:rsidRPr="005616FF">
              <w:rPr>
                <w:rFonts w:ascii="Arial" w:hAnsi="Arial" w:cs="Arial"/>
                <w:sz w:val="18"/>
                <w:szCs w:val="18"/>
                <w:lang w:val="de-DE"/>
              </w:rPr>
              <w:t>Kamate se obračunavaju proporcionalnom metodom, dekurzivno</w:t>
            </w:r>
          </w:p>
          <w:p w:rsidR="004B06D7" w:rsidRPr="005616FF" w:rsidRDefault="004B06D7" w:rsidP="00F846FC">
            <w:pPr>
              <w:rPr>
                <w:rFonts w:ascii="Arial" w:hAnsi="Arial" w:cs="Arial"/>
                <w:sz w:val="18"/>
                <w:szCs w:val="18"/>
                <w:lang w:val="de-DE"/>
              </w:rPr>
            </w:pPr>
          </w:p>
        </w:tc>
      </w:tr>
      <w:tr w:rsidR="00E962BD" w:rsidRPr="00345D91" w:rsidTr="00A92783">
        <w:trPr>
          <w:trHeight w:val="219"/>
        </w:trPr>
        <w:tc>
          <w:tcPr>
            <w:tcW w:w="725" w:type="pct"/>
          </w:tcPr>
          <w:p w:rsidR="002B5AA5" w:rsidRPr="00517506" w:rsidRDefault="00A96018" w:rsidP="00F846FC">
            <w:pPr>
              <w:rPr>
                <w:rFonts w:ascii="Arial" w:hAnsi="Arial" w:cs="Arial"/>
                <w:b/>
                <w:sz w:val="18"/>
                <w:szCs w:val="18"/>
              </w:rPr>
            </w:pPr>
            <w:r>
              <w:rPr>
                <w:rFonts w:ascii="Arial" w:hAnsi="Arial" w:cs="Arial"/>
                <w:b/>
                <w:sz w:val="18"/>
                <w:szCs w:val="18"/>
              </w:rPr>
              <w:t>Isplata kredita</w:t>
            </w:r>
          </w:p>
        </w:tc>
        <w:tc>
          <w:tcPr>
            <w:tcW w:w="4275" w:type="pct"/>
          </w:tcPr>
          <w:p w:rsidR="004B06D7" w:rsidRDefault="004B06D7" w:rsidP="00F846FC">
            <w:pPr>
              <w:rPr>
                <w:rFonts w:ascii="Arial" w:hAnsi="Arial" w:cs="Arial"/>
                <w:sz w:val="18"/>
                <w:szCs w:val="18"/>
              </w:rPr>
            </w:pPr>
          </w:p>
          <w:p w:rsidR="00823329" w:rsidRDefault="009F6714" w:rsidP="00F846FC">
            <w:pPr>
              <w:rPr>
                <w:rFonts w:ascii="Arial" w:hAnsi="Arial" w:cs="Arial"/>
                <w:sz w:val="18"/>
                <w:szCs w:val="18"/>
              </w:rPr>
            </w:pPr>
            <w:r w:rsidRPr="00F53665">
              <w:rPr>
                <w:rFonts w:ascii="Arial" w:hAnsi="Arial" w:cs="Arial"/>
                <w:sz w:val="18"/>
                <w:szCs w:val="18"/>
              </w:rPr>
              <w:t>Krediti se isplaćuju u kunama, a krediti s valutnom klauzulom u EUR se isplaćuju u kunama po važećem srednjem tečaju HNB za EUR za devize na dan isplate kredita</w:t>
            </w:r>
          </w:p>
          <w:p w:rsidR="007F159D" w:rsidRPr="00A96018" w:rsidRDefault="007F159D" w:rsidP="00F846FC">
            <w:pPr>
              <w:rPr>
                <w:rFonts w:ascii="Arial" w:hAnsi="Arial" w:cs="Arial"/>
                <w:color w:val="FF0000"/>
                <w:sz w:val="18"/>
                <w:szCs w:val="18"/>
              </w:rPr>
            </w:pPr>
          </w:p>
        </w:tc>
      </w:tr>
      <w:tr w:rsidR="00E962BD" w:rsidRPr="00A92783" w:rsidTr="00A92783">
        <w:trPr>
          <w:trHeight w:val="90"/>
        </w:trPr>
        <w:tc>
          <w:tcPr>
            <w:tcW w:w="725" w:type="pct"/>
          </w:tcPr>
          <w:p w:rsidR="0063730A" w:rsidRPr="00517506" w:rsidRDefault="0063730A" w:rsidP="00F846FC">
            <w:pPr>
              <w:rPr>
                <w:rFonts w:ascii="Arial" w:hAnsi="Arial" w:cs="Arial"/>
                <w:b/>
                <w:sz w:val="18"/>
                <w:szCs w:val="18"/>
              </w:rPr>
            </w:pPr>
            <w:r w:rsidRPr="00517506">
              <w:rPr>
                <w:rFonts w:ascii="Arial" w:hAnsi="Arial" w:cs="Arial"/>
                <w:b/>
                <w:sz w:val="18"/>
                <w:szCs w:val="18"/>
              </w:rPr>
              <w:t>Otplata kredita</w:t>
            </w:r>
          </w:p>
          <w:p w:rsidR="0063730A" w:rsidRPr="00517506" w:rsidRDefault="0063730A" w:rsidP="00F846FC">
            <w:pPr>
              <w:rPr>
                <w:rFonts w:ascii="Arial" w:hAnsi="Arial" w:cs="Arial"/>
                <w:b/>
                <w:sz w:val="18"/>
                <w:szCs w:val="18"/>
              </w:rPr>
            </w:pPr>
          </w:p>
          <w:p w:rsidR="0063730A" w:rsidRPr="00517506" w:rsidRDefault="0063730A" w:rsidP="00F846FC">
            <w:pPr>
              <w:rPr>
                <w:rFonts w:ascii="Arial" w:hAnsi="Arial" w:cs="Arial"/>
                <w:b/>
                <w:sz w:val="18"/>
                <w:szCs w:val="18"/>
              </w:rPr>
            </w:pPr>
          </w:p>
          <w:p w:rsidR="0063730A" w:rsidRPr="00517506" w:rsidRDefault="0063730A" w:rsidP="00F846FC">
            <w:pPr>
              <w:rPr>
                <w:rFonts w:ascii="Arial" w:hAnsi="Arial" w:cs="Arial"/>
                <w:b/>
                <w:sz w:val="18"/>
                <w:szCs w:val="18"/>
              </w:rPr>
            </w:pPr>
          </w:p>
          <w:p w:rsidR="00E962BD" w:rsidRPr="00517506" w:rsidRDefault="00E962BD" w:rsidP="00F846FC">
            <w:pPr>
              <w:rPr>
                <w:rFonts w:ascii="Arial" w:hAnsi="Arial" w:cs="Arial"/>
                <w:b/>
                <w:sz w:val="18"/>
                <w:szCs w:val="18"/>
              </w:rPr>
            </w:pPr>
          </w:p>
          <w:p w:rsidR="002B5AA5" w:rsidRPr="00517506" w:rsidRDefault="002B5AA5" w:rsidP="00F846FC">
            <w:pPr>
              <w:rPr>
                <w:rFonts w:ascii="Arial" w:hAnsi="Arial" w:cs="Arial"/>
                <w:b/>
                <w:sz w:val="18"/>
                <w:szCs w:val="18"/>
              </w:rPr>
            </w:pPr>
          </w:p>
          <w:p w:rsidR="002B5AA5" w:rsidRPr="00517506" w:rsidRDefault="002B5AA5" w:rsidP="00F846FC">
            <w:pPr>
              <w:rPr>
                <w:rFonts w:ascii="Arial" w:hAnsi="Arial" w:cs="Arial"/>
                <w:b/>
                <w:sz w:val="18"/>
                <w:szCs w:val="18"/>
              </w:rPr>
            </w:pPr>
          </w:p>
        </w:tc>
        <w:tc>
          <w:tcPr>
            <w:tcW w:w="4275" w:type="pct"/>
          </w:tcPr>
          <w:p w:rsidR="004B06D7" w:rsidRDefault="004B06D7" w:rsidP="00F846FC">
            <w:pPr>
              <w:rPr>
                <w:rFonts w:ascii="Arial" w:hAnsi="Arial" w:cs="Arial"/>
                <w:sz w:val="18"/>
                <w:szCs w:val="18"/>
              </w:rPr>
            </w:pPr>
          </w:p>
          <w:p w:rsidR="0063730A" w:rsidRPr="0063730A" w:rsidRDefault="0063730A" w:rsidP="00F846FC">
            <w:pPr>
              <w:rPr>
                <w:rFonts w:ascii="Arial" w:hAnsi="Arial" w:cs="Arial"/>
                <w:sz w:val="18"/>
                <w:szCs w:val="18"/>
              </w:rPr>
            </w:pPr>
            <w:r w:rsidRPr="0063730A">
              <w:rPr>
                <w:rFonts w:ascii="Arial" w:hAnsi="Arial" w:cs="Arial"/>
                <w:sz w:val="18"/>
                <w:szCs w:val="18"/>
              </w:rPr>
              <w:t>Krediti se otplaćuju u kunama, a krediti s valutnom klauzulom u EUR se otplaćuju kunama po srednjem tečaju HNB za EUR za devize na dan dospijeća kredita.</w:t>
            </w:r>
          </w:p>
          <w:p w:rsidR="0063730A" w:rsidRPr="00B4345C" w:rsidRDefault="0063730A" w:rsidP="00F846FC">
            <w:pPr>
              <w:rPr>
                <w:rFonts w:ascii="Arial" w:hAnsi="Arial" w:cs="Arial"/>
                <w:sz w:val="18"/>
                <w:szCs w:val="18"/>
                <w:lang w:val="it-IT"/>
              </w:rPr>
            </w:pPr>
            <w:r w:rsidRPr="00B4345C">
              <w:rPr>
                <w:rFonts w:ascii="Arial" w:hAnsi="Arial" w:cs="Arial"/>
                <w:sz w:val="18"/>
                <w:szCs w:val="18"/>
                <w:lang w:val="it-IT"/>
              </w:rPr>
              <w:t>Otplata kredita se vrši putem AZ na plaći korisnika kredita.</w:t>
            </w:r>
          </w:p>
          <w:p w:rsidR="0063730A" w:rsidRPr="00B4345C" w:rsidRDefault="0063730A" w:rsidP="00F846FC">
            <w:pPr>
              <w:rPr>
                <w:rFonts w:ascii="Arial" w:hAnsi="Arial" w:cs="Arial"/>
                <w:sz w:val="18"/>
                <w:szCs w:val="18"/>
                <w:lang w:val="it-IT"/>
              </w:rPr>
            </w:pPr>
            <w:r w:rsidRPr="00B4345C">
              <w:rPr>
                <w:rFonts w:ascii="Arial" w:hAnsi="Arial" w:cs="Arial"/>
                <w:sz w:val="18"/>
                <w:szCs w:val="18"/>
                <w:lang w:val="it-IT"/>
              </w:rPr>
              <w:t>Za klijente čiji poslodavac ne postupa po AZ, obavezno je ugovaranje trajnog naloga.</w:t>
            </w:r>
          </w:p>
          <w:p w:rsidR="0063730A" w:rsidRPr="00B4345C" w:rsidRDefault="0063730A" w:rsidP="00F846FC">
            <w:pPr>
              <w:rPr>
                <w:rFonts w:ascii="Arial" w:hAnsi="Arial" w:cs="Arial"/>
                <w:sz w:val="18"/>
                <w:szCs w:val="18"/>
                <w:lang w:val="it-IT"/>
              </w:rPr>
            </w:pPr>
          </w:p>
          <w:p w:rsidR="00D176BD" w:rsidRPr="00B4345C" w:rsidRDefault="0063730A" w:rsidP="00F846FC">
            <w:pPr>
              <w:rPr>
                <w:rFonts w:ascii="Arial" w:hAnsi="Arial" w:cs="Arial"/>
                <w:sz w:val="18"/>
                <w:szCs w:val="18"/>
                <w:lang w:val="it-IT"/>
              </w:rPr>
            </w:pPr>
            <w:r w:rsidRPr="00B4345C">
              <w:rPr>
                <w:rFonts w:ascii="Arial" w:hAnsi="Arial" w:cs="Arial"/>
                <w:sz w:val="18"/>
                <w:szCs w:val="18"/>
                <w:lang w:val="it-IT"/>
              </w:rPr>
              <w:t>Otplata se vrši u redovnim mjesečnim anuitetima.</w:t>
            </w:r>
          </w:p>
          <w:p w:rsidR="00D176BD" w:rsidRPr="00B4345C" w:rsidRDefault="00D176BD" w:rsidP="00F846FC">
            <w:pPr>
              <w:rPr>
                <w:rFonts w:ascii="Arial" w:hAnsi="Arial" w:cs="Arial"/>
                <w:sz w:val="18"/>
                <w:szCs w:val="18"/>
                <w:lang w:val="it-IT"/>
              </w:rPr>
            </w:pPr>
          </w:p>
        </w:tc>
      </w:tr>
      <w:tr w:rsidR="00E962BD" w:rsidRPr="00A92783" w:rsidTr="00A92783">
        <w:trPr>
          <w:trHeight w:val="2250"/>
        </w:trPr>
        <w:tc>
          <w:tcPr>
            <w:tcW w:w="725" w:type="pct"/>
          </w:tcPr>
          <w:p w:rsidR="002B5AA5" w:rsidRPr="00517506" w:rsidRDefault="00B9263A" w:rsidP="00F846FC">
            <w:pPr>
              <w:rPr>
                <w:rFonts w:ascii="Arial" w:hAnsi="Arial" w:cs="Arial"/>
                <w:b/>
                <w:sz w:val="18"/>
                <w:szCs w:val="18"/>
              </w:rPr>
            </w:pPr>
            <w:r>
              <w:rPr>
                <w:rFonts w:ascii="Arial" w:hAnsi="Arial" w:cs="Arial"/>
                <w:b/>
                <w:sz w:val="18"/>
                <w:szCs w:val="18"/>
              </w:rPr>
              <w:t>I</w:t>
            </w:r>
            <w:r w:rsidR="00A96018">
              <w:rPr>
                <w:rFonts w:ascii="Arial" w:hAnsi="Arial" w:cs="Arial"/>
                <w:b/>
                <w:sz w:val="18"/>
                <w:szCs w:val="18"/>
              </w:rPr>
              <w:t>nstrumenti osiguranja</w:t>
            </w:r>
          </w:p>
        </w:tc>
        <w:tc>
          <w:tcPr>
            <w:tcW w:w="4275" w:type="pct"/>
          </w:tcPr>
          <w:p w:rsidR="004B06D7" w:rsidRDefault="004B06D7" w:rsidP="00F846FC">
            <w:pPr>
              <w:rPr>
                <w:rFonts w:ascii="Arial" w:hAnsi="Arial" w:cs="Arial"/>
                <w:sz w:val="18"/>
                <w:szCs w:val="18"/>
              </w:rPr>
            </w:pPr>
          </w:p>
          <w:p w:rsidR="00B01B8A" w:rsidRPr="00B01B8A" w:rsidRDefault="00AA741D" w:rsidP="00F846FC">
            <w:pPr>
              <w:rPr>
                <w:rFonts w:ascii="Arial" w:hAnsi="Arial" w:cs="Arial"/>
                <w:sz w:val="18"/>
                <w:szCs w:val="18"/>
              </w:rPr>
            </w:pPr>
            <w:r>
              <w:rPr>
                <w:rFonts w:ascii="Arial" w:hAnsi="Arial" w:cs="Arial"/>
                <w:sz w:val="18"/>
                <w:szCs w:val="18"/>
              </w:rPr>
              <w:t xml:space="preserve">Obavezni </w:t>
            </w:r>
            <w:r w:rsidR="00B01B8A" w:rsidRPr="00B01B8A">
              <w:rPr>
                <w:rFonts w:ascii="Arial" w:hAnsi="Arial" w:cs="Arial"/>
                <w:sz w:val="18"/>
                <w:szCs w:val="18"/>
              </w:rPr>
              <w:t>Instrumenti osiguranja</w:t>
            </w:r>
          </w:p>
          <w:p w:rsidR="00B01B8A" w:rsidRPr="00B01B8A" w:rsidRDefault="00B01B8A" w:rsidP="00F846FC">
            <w:pPr>
              <w:pStyle w:val="ListParagraph"/>
              <w:numPr>
                <w:ilvl w:val="0"/>
                <w:numId w:val="6"/>
              </w:numPr>
              <w:rPr>
                <w:rFonts w:ascii="Arial" w:hAnsi="Arial" w:cs="Arial"/>
                <w:sz w:val="18"/>
                <w:szCs w:val="18"/>
              </w:rPr>
            </w:pPr>
            <w:r w:rsidRPr="00B01B8A">
              <w:rPr>
                <w:rFonts w:ascii="Arial" w:hAnsi="Arial" w:cs="Arial"/>
                <w:sz w:val="18"/>
                <w:szCs w:val="18"/>
              </w:rPr>
              <w:t xml:space="preserve">javnobilježnički solemnizirana isprava o zapljeni </w:t>
            </w:r>
            <w:r w:rsidR="00B9263A">
              <w:rPr>
                <w:rFonts w:ascii="Arial" w:hAnsi="Arial" w:cs="Arial"/>
                <w:sz w:val="18"/>
                <w:szCs w:val="18"/>
              </w:rPr>
              <w:t xml:space="preserve">plaća svih sudionika u kreditu </w:t>
            </w:r>
          </w:p>
          <w:p w:rsidR="00B01B8A" w:rsidRPr="00B01B8A" w:rsidRDefault="00B01B8A" w:rsidP="00F846FC">
            <w:pPr>
              <w:pStyle w:val="ListParagraph"/>
              <w:numPr>
                <w:ilvl w:val="0"/>
                <w:numId w:val="6"/>
              </w:numPr>
              <w:rPr>
                <w:rFonts w:ascii="Arial" w:hAnsi="Arial" w:cs="Arial"/>
                <w:sz w:val="18"/>
                <w:szCs w:val="18"/>
              </w:rPr>
            </w:pPr>
            <w:r w:rsidRPr="00B01B8A">
              <w:rPr>
                <w:rFonts w:ascii="Arial" w:hAnsi="Arial" w:cs="Arial"/>
                <w:sz w:val="18"/>
                <w:szCs w:val="18"/>
              </w:rPr>
              <w:t>javnobilježnički solemnizirana zad</w:t>
            </w:r>
            <w:r w:rsidR="00B9263A">
              <w:rPr>
                <w:rFonts w:ascii="Arial" w:hAnsi="Arial" w:cs="Arial"/>
                <w:sz w:val="18"/>
                <w:szCs w:val="18"/>
              </w:rPr>
              <w:t>užnica svih sudionika u kreditu</w:t>
            </w:r>
          </w:p>
          <w:p w:rsidR="00B9263A" w:rsidRPr="00F15643" w:rsidRDefault="00B9263A" w:rsidP="00B9263A">
            <w:pPr>
              <w:rPr>
                <w:rFonts w:ascii="Arial" w:hAnsi="Arial" w:cs="Arial"/>
                <w:color w:val="000000" w:themeColor="text1"/>
                <w:sz w:val="18"/>
                <w:szCs w:val="18"/>
              </w:rPr>
            </w:pPr>
          </w:p>
          <w:p w:rsidR="00645EDE" w:rsidRPr="00F15643" w:rsidRDefault="00AA741D" w:rsidP="00645EDE">
            <w:pPr>
              <w:rPr>
                <w:rFonts w:ascii="Arial" w:hAnsi="Arial" w:cs="Arial"/>
                <w:color w:val="000000" w:themeColor="text1"/>
                <w:sz w:val="18"/>
                <w:szCs w:val="18"/>
              </w:rPr>
            </w:pPr>
            <w:r w:rsidRPr="00F15643">
              <w:rPr>
                <w:rFonts w:ascii="Arial" w:hAnsi="Arial" w:cs="Arial"/>
                <w:color w:val="000000" w:themeColor="text1"/>
                <w:sz w:val="18"/>
                <w:szCs w:val="18"/>
              </w:rPr>
              <w:t>Dodatn</w:t>
            </w:r>
            <w:r w:rsidR="00B9263A" w:rsidRPr="00F15643">
              <w:rPr>
                <w:rFonts w:ascii="Arial" w:hAnsi="Arial" w:cs="Arial"/>
                <w:color w:val="000000" w:themeColor="text1"/>
                <w:sz w:val="18"/>
                <w:szCs w:val="18"/>
              </w:rPr>
              <w:t>i</w:t>
            </w:r>
            <w:r w:rsidRPr="00F15643">
              <w:rPr>
                <w:rFonts w:ascii="Arial" w:hAnsi="Arial" w:cs="Arial"/>
                <w:color w:val="000000" w:themeColor="text1"/>
                <w:sz w:val="18"/>
                <w:szCs w:val="18"/>
              </w:rPr>
              <w:t xml:space="preserve"> instrument osiguranja </w:t>
            </w:r>
          </w:p>
          <w:p w:rsidR="00B9263A" w:rsidRPr="00F15643" w:rsidRDefault="00645EDE" w:rsidP="00645EDE">
            <w:pPr>
              <w:rPr>
                <w:rFonts w:ascii="Arial" w:hAnsi="Arial" w:cs="Arial"/>
                <w:color w:val="000000" w:themeColor="text1"/>
                <w:sz w:val="18"/>
                <w:szCs w:val="18"/>
              </w:rPr>
            </w:pPr>
            <w:r w:rsidRPr="00F15643">
              <w:rPr>
                <w:rFonts w:ascii="Arial" w:hAnsi="Arial" w:cs="Arial"/>
                <w:color w:val="000000" w:themeColor="text1"/>
                <w:sz w:val="18"/>
                <w:szCs w:val="18"/>
              </w:rPr>
              <w:t>Krediti se odobravaju bez dodatnih instrumenata osiguranja dok je ugovara</w:t>
            </w:r>
            <w:r w:rsidR="00F15643">
              <w:rPr>
                <w:rFonts w:ascii="Arial" w:hAnsi="Arial" w:cs="Arial"/>
                <w:color w:val="000000" w:themeColor="text1"/>
                <w:sz w:val="18"/>
                <w:szCs w:val="18"/>
              </w:rPr>
              <w:t>nje osiguranja povrata kredita </w:t>
            </w:r>
            <w:r w:rsidRPr="00F15643">
              <w:rPr>
                <w:rFonts w:ascii="Arial" w:hAnsi="Arial" w:cs="Arial"/>
                <w:color w:val="000000" w:themeColor="text1"/>
                <w:sz w:val="18"/>
                <w:szCs w:val="18"/>
              </w:rPr>
              <w:t>(CPI) dobrovoljno, odnosno ovisi o odabiru klijenta.</w:t>
            </w:r>
          </w:p>
          <w:p w:rsidR="00645EDE" w:rsidRPr="00B01B8A" w:rsidRDefault="00645EDE" w:rsidP="00645EDE">
            <w:pPr>
              <w:rPr>
                <w:rFonts w:ascii="Arial" w:hAnsi="Arial" w:cs="Arial"/>
                <w:sz w:val="18"/>
                <w:szCs w:val="18"/>
              </w:rPr>
            </w:pPr>
          </w:p>
          <w:p w:rsidR="00085B99" w:rsidRDefault="00085B99" w:rsidP="00085B99">
            <w:pPr>
              <w:rPr>
                <w:rFonts w:ascii="Arial" w:hAnsi="Arial" w:cs="Arial"/>
                <w:sz w:val="18"/>
                <w:szCs w:val="18"/>
                <w:lang w:val="it-IT"/>
              </w:rPr>
            </w:pPr>
            <w:r w:rsidRPr="00B4345C">
              <w:rPr>
                <w:rFonts w:ascii="Arial" w:hAnsi="Arial" w:cs="Arial"/>
                <w:sz w:val="18"/>
                <w:szCs w:val="18"/>
                <w:lang w:val="it-IT"/>
              </w:rPr>
              <w:t>Ukoliko se procijeni potrebnim, Banka može tražiti I dodatne instrumente osiguranja.</w:t>
            </w:r>
          </w:p>
          <w:p w:rsidR="004B06D7" w:rsidRDefault="004B06D7" w:rsidP="00085B99">
            <w:pPr>
              <w:rPr>
                <w:rFonts w:ascii="Arial" w:hAnsi="Arial" w:cs="Arial"/>
                <w:sz w:val="18"/>
                <w:szCs w:val="18"/>
                <w:lang w:val="it-IT"/>
              </w:rPr>
            </w:pPr>
          </w:p>
          <w:p w:rsidR="004B06D7" w:rsidRPr="00B4345C" w:rsidRDefault="004B06D7" w:rsidP="00085B99">
            <w:pPr>
              <w:rPr>
                <w:rFonts w:ascii="Arial" w:hAnsi="Arial" w:cs="Arial"/>
                <w:sz w:val="18"/>
                <w:szCs w:val="18"/>
                <w:lang w:val="it-IT"/>
              </w:rPr>
            </w:pPr>
          </w:p>
        </w:tc>
      </w:tr>
      <w:tr w:rsidR="00720EA4" w:rsidRPr="00345D91" w:rsidTr="00667018">
        <w:trPr>
          <w:trHeight w:val="101"/>
        </w:trPr>
        <w:tc>
          <w:tcPr>
            <w:tcW w:w="5000" w:type="pct"/>
            <w:gridSpan w:val="2"/>
            <w:shd w:val="clear" w:color="auto" w:fill="00703C"/>
            <w:vAlign w:val="center"/>
          </w:tcPr>
          <w:p w:rsidR="004B06D7" w:rsidRPr="00524997" w:rsidRDefault="004B06D7" w:rsidP="00F846FC">
            <w:pPr>
              <w:rPr>
                <w:rFonts w:ascii="Arial" w:hAnsi="Arial" w:cs="Arial"/>
                <w:b/>
                <w:color w:val="FFFFFF" w:themeColor="background1"/>
                <w:sz w:val="18"/>
                <w:szCs w:val="18"/>
                <w:lang w:val="it-IT"/>
              </w:rPr>
            </w:pPr>
          </w:p>
          <w:p w:rsidR="00720EA4" w:rsidRPr="00AD2C5B" w:rsidRDefault="0063730A" w:rsidP="00F846FC">
            <w:pPr>
              <w:rPr>
                <w:rFonts w:ascii="Arial" w:hAnsi="Arial" w:cs="Arial"/>
                <w:b/>
                <w:sz w:val="18"/>
                <w:szCs w:val="18"/>
              </w:rPr>
            </w:pPr>
            <w:r w:rsidRPr="005616FF">
              <w:rPr>
                <w:rFonts w:ascii="Arial" w:hAnsi="Arial" w:cs="Arial"/>
                <w:b/>
                <w:color w:val="FFFFFF" w:themeColor="background1"/>
                <w:sz w:val="18"/>
                <w:szCs w:val="18"/>
              </w:rPr>
              <w:t>Naknade</w:t>
            </w:r>
            <w:r w:rsidRPr="00AD2C5B">
              <w:rPr>
                <w:rFonts w:ascii="Arial" w:hAnsi="Arial" w:cs="Arial"/>
                <w:b/>
                <w:sz w:val="18"/>
                <w:szCs w:val="18"/>
              </w:rPr>
              <w:tab/>
            </w:r>
          </w:p>
        </w:tc>
      </w:tr>
      <w:tr w:rsidR="00D176BD" w:rsidRPr="00D176BD" w:rsidTr="00A92783">
        <w:trPr>
          <w:trHeight w:val="261"/>
        </w:trPr>
        <w:tc>
          <w:tcPr>
            <w:tcW w:w="725" w:type="pct"/>
          </w:tcPr>
          <w:p w:rsidR="00E3528F" w:rsidRPr="00AD2C5B" w:rsidRDefault="000F0C14" w:rsidP="00F846FC">
            <w:pPr>
              <w:rPr>
                <w:rFonts w:ascii="Arial" w:hAnsi="Arial" w:cs="Arial"/>
                <w:b/>
                <w:sz w:val="18"/>
                <w:szCs w:val="18"/>
              </w:rPr>
            </w:pPr>
            <w:r w:rsidRPr="00AD2C5B">
              <w:rPr>
                <w:rFonts w:ascii="Arial" w:hAnsi="Arial" w:cs="Arial"/>
                <w:b/>
                <w:sz w:val="18"/>
                <w:szCs w:val="18"/>
              </w:rPr>
              <w:t>Naknada za obradu kreditnog zahtjeva</w:t>
            </w:r>
          </w:p>
        </w:tc>
        <w:tc>
          <w:tcPr>
            <w:tcW w:w="4275" w:type="pct"/>
          </w:tcPr>
          <w:p w:rsidR="00F53665" w:rsidRDefault="00F53665" w:rsidP="00F846FC">
            <w:pPr>
              <w:rPr>
                <w:rFonts w:ascii="Arial" w:hAnsi="Arial" w:cs="Arial"/>
                <w:sz w:val="18"/>
                <w:szCs w:val="18"/>
              </w:rPr>
            </w:pPr>
          </w:p>
          <w:p w:rsidR="00823329" w:rsidRDefault="008B0E24" w:rsidP="00F846FC">
            <w:pPr>
              <w:rPr>
                <w:rFonts w:ascii="Arial" w:hAnsi="Arial" w:cs="Arial"/>
                <w:sz w:val="18"/>
                <w:szCs w:val="18"/>
              </w:rPr>
            </w:pPr>
            <w:r w:rsidRPr="00D176BD">
              <w:rPr>
                <w:rFonts w:ascii="Arial" w:hAnsi="Arial" w:cs="Arial"/>
                <w:sz w:val="18"/>
                <w:szCs w:val="18"/>
              </w:rPr>
              <w:t>Bez naknade</w:t>
            </w:r>
          </w:p>
          <w:p w:rsidR="004B06D7" w:rsidRPr="00D176BD" w:rsidRDefault="004B06D7" w:rsidP="00F846FC">
            <w:pPr>
              <w:rPr>
                <w:rFonts w:ascii="Arial" w:hAnsi="Arial" w:cs="Arial"/>
                <w:sz w:val="18"/>
                <w:szCs w:val="18"/>
              </w:rPr>
            </w:pPr>
          </w:p>
        </w:tc>
      </w:tr>
      <w:tr w:rsidR="00A92783" w:rsidRPr="00A92783" w:rsidTr="00A92783">
        <w:trPr>
          <w:trHeight w:val="1500"/>
        </w:trPr>
        <w:tc>
          <w:tcPr>
            <w:tcW w:w="725" w:type="pct"/>
          </w:tcPr>
          <w:p w:rsidR="00A92783" w:rsidRPr="00AD2C5B" w:rsidRDefault="00A92783" w:rsidP="00F846FC">
            <w:pPr>
              <w:rPr>
                <w:rFonts w:ascii="Arial" w:hAnsi="Arial" w:cs="Arial"/>
                <w:b/>
                <w:sz w:val="18"/>
                <w:szCs w:val="18"/>
              </w:rPr>
            </w:pPr>
            <w:r w:rsidRPr="00AD2C5B">
              <w:rPr>
                <w:rFonts w:ascii="Arial" w:hAnsi="Arial" w:cs="Arial"/>
                <w:b/>
                <w:sz w:val="18"/>
                <w:szCs w:val="18"/>
              </w:rPr>
              <w:t>Naknada za djelomičnu ili prijevremenu otplatu kredita</w:t>
            </w:r>
          </w:p>
        </w:tc>
        <w:tc>
          <w:tcPr>
            <w:tcW w:w="4275" w:type="pct"/>
            <w:vMerge w:val="restart"/>
          </w:tcPr>
          <w:p w:rsidR="00A92783" w:rsidRDefault="00A92783" w:rsidP="00F846FC">
            <w:pPr>
              <w:rPr>
                <w:rFonts w:ascii="Arial" w:hAnsi="Arial" w:cs="Arial"/>
                <w:sz w:val="18"/>
                <w:szCs w:val="18"/>
                <w:lang w:val="hr-HR"/>
              </w:rPr>
            </w:pPr>
            <w:r>
              <w:rPr>
                <w:rFonts w:ascii="Arial" w:hAnsi="Arial" w:cs="Arial"/>
                <w:sz w:val="18"/>
                <w:szCs w:val="18"/>
                <w:lang w:val="hr-HR"/>
              </w:rPr>
              <w:t>Korisnici kredita imaju</w:t>
            </w:r>
            <w:r w:rsidRPr="00F67A00">
              <w:rPr>
                <w:rFonts w:ascii="Arial" w:hAnsi="Arial" w:cs="Arial"/>
                <w:sz w:val="18"/>
                <w:szCs w:val="18"/>
                <w:lang w:val="hr-HR"/>
              </w:rPr>
              <w:t xml:space="preserve"> mogućnost prijevremene otplate dijela ili cijelog iznosa kredita.</w:t>
            </w:r>
          </w:p>
          <w:p w:rsidR="00A92783" w:rsidRPr="00F67A00" w:rsidRDefault="00A92783" w:rsidP="00F846FC">
            <w:pPr>
              <w:rPr>
                <w:rFonts w:ascii="Arial" w:hAnsi="Arial" w:cs="Arial"/>
                <w:sz w:val="18"/>
                <w:szCs w:val="18"/>
                <w:lang w:val="hr-HR"/>
              </w:rPr>
            </w:pPr>
          </w:p>
          <w:p w:rsidR="00A92783" w:rsidRDefault="00A92783" w:rsidP="00F846FC">
            <w:pPr>
              <w:rPr>
                <w:rFonts w:ascii="Arial" w:hAnsi="Arial" w:cs="Arial"/>
                <w:sz w:val="18"/>
                <w:szCs w:val="18"/>
                <w:lang w:val="hr-HR"/>
              </w:rPr>
            </w:pPr>
            <w:r w:rsidRPr="00F67A00">
              <w:rPr>
                <w:rFonts w:ascii="Arial" w:hAnsi="Arial" w:cs="Arial"/>
                <w:sz w:val="18"/>
                <w:szCs w:val="18"/>
                <w:lang w:val="hr-HR"/>
              </w:rPr>
              <w:t xml:space="preserve">Korisnik kredita ima pravo u svakom trenutku prijevremeno ispuniti, djelomično ili u cijelosti, svoje obveze iz ovog Kredita. Prijevremena otplata kredita (djelomična ili konačna) može se izvršiti samo uz pisani zahtjev Korisnika kredita, a prema uvjetima koji su važeći u trenutku prijevremene otplate. U tom slučaju Korisnik kredita ima pravo na smanjenje ukupnih troškova kredita, a smanjenje se sastoji od kamata i drugih troškova koji se odnose na preostalo trajanje ovog Ugovora, te Korisnik kredita ima pravo izbora zatražiti umanjenje </w:t>
            </w:r>
            <w:r w:rsidRPr="00F67A00">
              <w:rPr>
                <w:rFonts w:ascii="Arial" w:hAnsi="Arial" w:cs="Arial"/>
                <w:sz w:val="18"/>
                <w:szCs w:val="18"/>
                <w:lang w:val="hr-HR"/>
              </w:rPr>
              <w:lastRenderedPageBreak/>
              <w:t>mjesečnog otplatnog anuiteta razmjerno s njegovim novonastalim dugom kredita uz neizmijenjen rok otplate kredita ili da se skrati razdoblje otplate kredita, a visina mjesečnog anuiteta ostaje neizmijenjena.</w:t>
            </w:r>
          </w:p>
          <w:p w:rsidR="00A92783" w:rsidRPr="00F67A00" w:rsidRDefault="00A92783" w:rsidP="00F846FC">
            <w:pPr>
              <w:rPr>
                <w:rFonts w:ascii="Arial" w:hAnsi="Arial" w:cs="Arial"/>
                <w:sz w:val="18"/>
                <w:szCs w:val="18"/>
                <w:lang w:val="hr-HR"/>
              </w:rPr>
            </w:pPr>
            <w:r w:rsidRPr="00F67A00">
              <w:rPr>
                <w:rFonts w:ascii="Arial" w:hAnsi="Arial" w:cs="Arial"/>
                <w:sz w:val="18"/>
                <w:szCs w:val="18"/>
                <w:lang w:val="hr-HR"/>
              </w:rPr>
              <w:t xml:space="preserve"> </w:t>
            </w:r>
          </w:p>
          <w:p w:rsidR="00A92783" w:rsidRPr="00F67A00" w:rsidRDefault="00A92783" w:rsidP="00F846FC">
            <w:pPr>
              <w:rPr>
                <w:rFonts w:ascii="Arial" w:hAnsi="Arial" w:cs="Arial"/>
                <w:sz w:val="18"/>
                <w:szCs w:val="18"/>
                <w:lang w:val="hr-HR"/>
              </w:rPr>
            </w:pPr>
            <w:r w:rsidRPr="00F67A00">
              <w:rPr>
                <w:rFonts w:ascii="Arial" w:hAnsi="Arial" w:cs="Arial"/>
                <w:sz w:val="18"/>
                <w:szCs w:val="18"/>
                <w:lang w:val="hr-HR"/>
              </w:rPr>
              <w:t>Naknada za prijevremenu djelomičnu ili konačnu otplatu kredita se ne naplaćuje, osim ako se djelomična ili konačna otplata vrši za vrijeme trajanja fiksne kamatne stope ( tada se naknada naplaćuje)</w:t>
            </w:r>
          </w:p>
          <w:p w:rsidR="00A92783" w:rsidRDefault="00A92783" w:rsidP="00F846FC">
            <w:pPr>
              <w:rPr>
                <w:rFonts w:ascii="Arial" w:hAnsi="Arial" w:cs="Arial"/>
                <w:sz w:val="18"/>
                <w:szCs w:val="18"/>
                <w:lang w:val="hr-HR"/>
              </w:rPr>
            </w:pPr>
            <w:r w:rsidRPr="00F67A00">
              <w:rPr>
                <w:rFonts w:ascii="Arial" w:hAnsi="Arial" w:cs="Arial"/>
                <w:sz w:val="18"/>
                <w:szCs w:val="18"/>
                <w:lang w:val="hr-HR"/>
              </w:rPr>
              <w:t xml:space="preserve">Naknada za prijevremenu otplatu: </w:t>
            </w:r>
          </w:p>
          <w:p w:rsidR="00A92783" w:rsidRPr="00F67A00" w:rsidRDefault="00A92783" w:rsidP="00F846FC">
            <w:pPr>
              <w:jc w:val="both"/>
              <w:rPr>
                <w:rFonts w:ascii="Arial" w:hAnsi="Arial" w:cs="Arial"/>
                <w:sz w:val="18"/>
                <w:szCs w:val="18"/>
                <w:lang w:val="hr-HR"/>
              </w:rPr>
            </w:pPr>
          </w:p>
          <w:tbl>
            <w:tblPr>
              <w:tblStyle w:val="TableGrid"/>
              <w:tblW w:w="5000" w:type="pct"/>
              <w:tblLook w:val="0000" w:firstRow="0" w:lastRow="0" w:firstColumn="0" w:lastColumn="0" w:noHBand="0" w:noVBand="0"/>
            </w:tblPr>
            <w:tblGrid>
              <w:gridCol w:w="6162"/>
              <w:gridCol w:w="2551"/>
            </w:tblGrid>
            <w:tr w:rsidR="00A92783" w:rsidRPr="00A92783" w:rsidTr="00667018">
              <w:trPr>
                <w:trHeight w:val="340"/>
              </w:trPr>
              <w:tc>
                <w:tcPr>
                  <w:tcW w:w="3536" w:type="pct"/>
                </w:tcPr>
                <w:p w:rsidR="00A92783" w:rsidRPr="00F67A00" w:rsidRDefault="00A92783" w:rsidP="00E642B3">
                  <w:pPr>
                    <w:framePr w:hSpace="180" w:wrap="around" w:hAnchor="margin" w:y="-750"/>
                    <w:jc w:val="both"/>
                    <w:rPr>
                      <w:rFonts w:ascii="Arial" w:hAnsi="Arial" w:cs="Arial"/>
                      <w:sz w:val="18"/>
                      <w:szCs w:val="18"/>
                      <w:lang w:val="hr-HR"/>
                    </w:rPr>
                  </w:pPr>
                  <w:r w:rsidRPr="00F67A00">
                    <w:rPr>
                      <w:rFonts w:ascii="Arial" w:hAnsi="Arial" w:cs="Arial"/>
                      <w:sz w:val="18"/>
                      <w:szCs w:val="18"/>
                      <w:lang w:val="hr-HR"/>
                    </w:rPr>
                    <w:t>Krediti s fiksnom kamatnom stopom (ili za vrijeme trajanja fiksne kamatne stope)</w:t>
                  </w:r>
                </w:p>
              </w:tc>
              <w:tc>
                <w:tcPr>
                  <w:tcW w:w="1464" w:type="pct"/>
                </w:tcPr>
                <w:p w:rsidR="00A92783" w:rsidRPr="00F67A00" w:rsidRDefault="00A92783" w:rsidP="00E642B3">
                  <w:pPr>
                    <w:framePr w:hSpace="180" w:wrap="around" w:hAnchor="margin" w:y="-750"/>
                    <w:jc w:val="both"/>
                    <w:rPr>
                      <w:rFonts w:ascii="Arial" w:hAnsi="Arial" w:cs="Arial"/>
                      <w:sz w:val="18"/>
                      <w:szCs w:val="18"/>
                      <w:lang w:val="hr-HR"/>
                    </w:rPr>
                  </w:pPr>
                </w:p>
              </w:tc>
            </w:tr>
            <w:tr w:rsidR="00A92783" w:rsidRPr="00F67A00" w:rsidTr="00667018">
              <w:trPr>
                <w:trHeight w:val="340"/>
              </w:trPr>
              <w:tc>
                <w:tcPr>
                  <w:tcW w:w="3536" w:type="pct"/>
                </w:tcPr>
                <w:p w:rsidR="00A92783" w:rsidRPr="00F67A00" w:rsidRDefault="00A92783" w:rsidP="00E642B3">
                  <w:pPr>
                    <w:framePr w:hSpace="180" w:wrap="around" w:hAnchor="margin" w:y="-750"/>
                    <w:jc w:val="both"/>
                    <w:rPr>
                      <w:rFonts w:ascii="Arial" w:hAnsi="Arial" w:cs="Arial"/>
                      <w:sz w:val="18"/>
                      <w:szCs w:val="18"/>
                      <w:lang w:val="hr-HR"/>
                    </w:rPr>
                  </w:pPr>
                  <w:r w:rsidRPr="00F67A00">
                    <w:rPr>
                      <w:rFonts w:ascii="Arial" w:hAnsi="Arial" w:cs="Arial"/>
                      <w:sz w:val="18"/>
                      <w:szCs w:val="18"/>
                      <w:lang w:val="hr-HR"/>
                    </w:rPr>
                    <w:t>- iznos prijevremene otplate ne premašuje 75.000 kuna unutar 12 mjeseci</w:t>
                  </w:r>
                </w:p>
              </w:tc>
              <w:tc>
                <w:tcPr>
                  <w:tcW w:w="1464" w:type="pct"/>
                </w:tcPr>
                <w:p w:rsidR="00A92783" w:rsidRPr="00F67A00" w:rsidRDefault="00A92783" w:rsidP="00E642B3">
                  <w:pPr>
                    <w:framePr w:hSpace="180" w:wrap="around" w:hAnchor="margin" w:y="-750"/>
                    <w:jc w:val="both"/>
                    <w:rPr>
                      <w:rFonts w:ascii="Arial" w:hAnsi="Arial" w:cs="Arial"/>
                      <w:sz w:val="18"/>
                      <w:szCs w:val="18"/>
                      <w:lang w:val="hr-HR"/>
                    </w:rPr>
                  </w:pPr>
                  <w:r w:rsidRPr="00F67A00">
                    <w:rPr>
                      <w:rFonts w:ascii="Arial" w:hAnsi="Arial" w:cs="Arial"/>
                      <w:sz w:val="18"/>
                      <w:szCs w:val="18"/>
                      <w:lang w:val="hr-HR"/>
                    </w:rPr>
                    <w:t>bez naknade</w:t>
                  </w:r>
                </w:p>
              </w:tc>
            </w:tr>
            <w:tr w:rsidR="00A92783" w:rsidRPr="00A92783" w:rsidTr="00667018">
              <w:trPr>
                <w:trHeight w:val="340"/>
              </w:trPr>
              <w:tc>
                <w:tcPr>
                  <w:tcW w:w="3536" w:type="pct"/>
                </w:tcPr>
                <w:p w:rsidR="00A92783" w:rsidRPr="00F67A00" w:rsidRDefault="00A92783" w:rsidP="00E642B3">
                  <w:pPr>
                    <w:framePr w:hSpace="180" w:wrap="around" w:hAnchor="margin" w:y="-750"/>
                    <w:jc w:val="both"/>
                    <w:rPr>
                      <w:rFonts w:ascii="Arial" w:hAnsi="Arial" w:cs="Arial"/>
                      <w:sz w:val="18"/>
                      <w:szCs w:val="18"/>
                      <w:lang w:val="hr-HR"/>
                    </w:rPr>
                  </w:pPr>
                  <w:r w:rsidRPr="00F67A00">
                    <w:rPr>
                      <w:rFonts w:ascii="Arial" w:hAnsi="Arial" w:cs="Arial"/>
                      <w:sz w:val="18"/>
                      <w:szCs w:val="18"/>
                      <w:lang w:val="hr-HR"/>
                    </w:rPr>
                    <w:t>- iznos prijevremene otplate premašuje 75.000 kuna, a do dospijeća kredita je kraće od godinu dana</w:t>
                  </w:r>
                </w:p>
              </w:tc>
              <w:tc>
                <w:tcPr>
                  <w:tcW w:w="1464" w:type="pct"/>
                </w:tcPr>
                <w:p w:rsidR="00A92783" w:rsidRPr="00F67A00" w:rsidRDefault="00A92783" w:rsidP="00E642B3">
                  <w:pPr>
                    <w:framePr w:hSpace="180" w:wrap="around" w:hAnchor="margin" w:y="-750"/>
                    <w:jc w:val="both"/>
                    <w:rPr>
                      <w:rFonts w:ascii="Arial" w:hAnsi="Arial" w:cs="Arial"/>
                      <w:sz w:val="18"/>
                      <w:szCs w:val="18"/>
                      <w:lang w:val="hr-HR"/>
                    </w:rPr>
                  </w:pPr>
                  <w:r w:rsidRPr="00F67A00">
                    <w:rPr>
                      <w:rFonts w:ascii="Arial" w:hAnsi="Arial" w:cs="Arial"/>
                      <w:sz w:val="18"/>
                      <w:szCs w:val="18"/>
                      <w:lang w:val="hr-HR"/>
                    </w:rPr>
                    <w:t>0,5% iznosa kredita koji se ranije otplaćuje</w:t>
                  </w:r>
                </w:p>
              </w:tc>
            </w:tr>
            <w:tr w:rsidR="00A92783" w:rsidRPr="00A92783" w:rsidTr="00667018">
              <w:trPr>
                <w:trHeight w:val="340"/>
              </w:trPr>
              <w:tc>
                <w:tcPr>
                  <w:tcW w:w="3536" w:type="pct"/>
                </w:tcPr>
                <w:p w:rsidR="00A92783" w:rsidRPr="00F67A00" w:rsidRDefault="00A92783" w:rsidP="00E642B3">
                  <w:pPr>
                    <w:framePr w:hSpace="180" w:wrap="around" w:hAnchor="margin" w:y="-750"/>
                    <w:jc w:val="both"/>
                    <w:rPr>
                      <w:rFonts w:ascii="Arial" w:hAnsi="Arial" w:cs="Arial"/>
                      <w:sz w:val="18"/>
                      <w:szCs w:val="18"/>
                      <w:lang w:val="hr-HR"/>
                    </w:rPr>
                  </w:pPr>
                  <w:r w:rsidRPr="00F67A00">
                    <w:rPr>
                      <w:rFonts w:ascii="Arial" w:hAnsi="Arial" w:cs="Arial"/>
                      <w:sz w:val="18"/>
                      <w:szCs w:val="18"/>
                      <w:lang w:val="hr-HR"/>
                    </w:rPr>
                    <w:t>- iznos prijevremene otplate premašuje 75.000 kuna, a do dospijeća je dulje od godinu dana</w:t>
                  </w:r>
                </w:p>
              </w:tc>
              <w:tc>
                <w:tcPr>
                  <w:tcW w:w="1464" w:type="pct"/>
                </w:tcPr>
                <w:p w:rsidR="00A92783" w:rsidRPr="00F67A00" w:rsidRDefault="00A92783" w:rsidP="00E642B3">
                  <w:pPr>
                    <w:framePr w:hSpace="180" w:wrap="around" w:hAnchor="margin" w:y="-750"/>
                    <w:jc w:val="both"/>
                    <w:rPr>
                      <w:rFonts w:ascii="Arial" w:hAnsi="Arial" w:cs="Arial"/>
                      <w:sz w:val="18"/>
                      <w:szCs w:val="18"/>
                      <w:lang w:val="hr-HR"/>
                    </w:rPr>
                  </w:pPr>
                  <w:r w:rsidRPr="00F67A00">
                    <w:rPr>
                      <w:rFonts w:ascii="Arial" w:hAnsi="Arial" w:cs="Arial"/>
                      <w:sz w:val="18"/>
                      <w:szCs w:val="18"/>
                      <w:lang w:val="hr-HR"/>
                    </w:rPr>
                    <w:t>1,00% iznosa kredita koji se ranije otplaćuje</w:t>
                  </w:r>
                </w:p>
              </w:tc>
            </w:tr>
            <w:tr w:rsidR="00A92783" w:rsidRPr="00A92783" w:rsidTr="00667018">
              <w:trPr>
                <w:trHeight w:val="340"/>
              </w:trPr>
              <w:tc>
                <w:tcPr>
                  <w:tcW w:w="5000" w:type="pct"/>
                  <w:gridSpan w:val="2"/>
                </w:tcPr>
                <w:p w:rsidR="00A92783" w:rsidRPr="00F67A00" w:rsidRDefault="00A92783" w:rsidP="00E642B3">
                  <w:pPr>
                    <w:framePr w:hSpace="180" w:wrap="around" w:hAnchor="margin" w:y="-750"/>
                    <w:jc w:val="both"/>
                    <w:rPr>
                      <w:rFonts w:ascii="Arial" w:hAnsi="Arial" w:cs="Arial"/>
                      <w:sz w:val="18"/>
                      <w:szCs w:val="18"/>
                      <w:lang w:val="hr-HR"/>
                    </w:rPr>
                  </w:pPr>
                  <w:r w:rsidRPr="00F67A00">
                    <w:rPr>
                      <w:rFonts w:ascii="Arial" w:hAnsi="Arial" w:cs="Arial"/>
                      <w:sz w:val="18"/>
                      <w:szCs w:val="18"/>
                      <w:lang w:val="hr-HR"/>
                    </w:rPr>
                    <w:t xml:space="preserve">  Iznos naknade ne smije prelaziti iznos kamata koje bi potrošač platio tijekom razdoblja između dana prijevremene otplate kredita i dana prestanka ugovora o kreditu</w:t>
                  </w:r>
                </w:p>
              </w:tc>
            </w:tr>
          </w:tbl>
          <w:p w:rsidR="00A92783" w:rsidRPr="00B4345C" w:rsidRDefault="00A92783" w:rsidP="00F846FC">
            <w:pPr>
              <w:jc w:val="both"/>
              <w:rPr>
                <w:rFonts w:ascii="Arial" w:hAnsi="Arial" w:cs="Arial"/>
                <w:sz w:val="18"/>
                <w:szCs w:val="18"/>
                <w:lang w:val="hr-HR"/>
              </w:rPr>
            </w:pPr>
          </w:p>
        </w:tc>
      </w:tr>
      <w:tr w:rsidR="00A92783" w:rsidRPr="00A92783" w:rsidTr="00A92783">
        <w:trPr>
          <w:trHeight w:val="1500"/>
        </w:trPr>
        <w:tc>
          <w:tcPr>
            <w:tcW w:w="725" w:type="pct"/>
            <w:tcBorders>
              <w:bottom w:val="single" w:sz="4" w:space="0" w:color="FFFFFF" w:themeColor="background1"/>
            </w:tcBorders>
          </w:tcPr>
          <w:p w:rsidR="00A92783" w:rsidRPr="00A92783" w:rsidRDefault="00A92783" w:rsidP="00F846FC">
            <w:pPr>
              <w:rPr>
                <w:rFonts w:ascii="Arial" w:hAnsi="Arial" w:cs="Arial"/>
                <w:sz w:val="18"/>
                <w:szCs w:val="18"/>
                <w:lang w:val="hr-HR"/>
              </w:rPr>
            </w:pPr>
          </w:p>
        </w:tc>
        <w:tc>
          <w:tcPr>
            <w:tcW w:w="4275" w:type="pct"/>
            <w:vMerge/>
          </w:tcPr>
          <w:p w:rsidR="00A92783" w:rsidRDefault="00A92783" w:rsidP="00F846FC">
            <w:pPr>
              <w:rPr>
                <w:rFonts w:ascii="Arial" w:hAnsi="Arial" w:cs="Arial"/>
                <w:sz w:val="18"/>
                <w:szCs w:val="18"/>
                <w:lang w:val="hr-HR"/>
              </w:rPr>
            </w:pPr>
          </w:p>
        </w:tc>
      </w:tr>
      <w:tr w:rsidR="00A92783" w:rsidRPr="00A92783" w:rsidTr="00A92783">
        <w:trPr>
          <w:trHeight w:val="2170"/>
        </w:trPr>
        <w:tc>
          <w:tcPr>
            <w:tcW w:w="725" w:type="pct"/>
            <w:tcBorders>
              <w:top w:val="single" w:sz="4" w:space="0" w:color="FFFFFF" w:themeColor="background1"/>
            </w:tcBorders>
          </w:tcPr>
          <w:p w:rsidR="00A92783" w:rsidRPr="00A92783" w:rsidRDefault="00A92783" w:rsidP="00F846FC">
            <w:pPr>
              <w:rPr>
                <w:rFonts w:ascii="Arial" w:hAnsi="Arial" w:cs="Arial"/>
                <w:sz w:val="18"/>
                <w:szCs w:val="18"/>
                <w:lang w:val="hr-HR"/>
              </w:rPr>
            </w:pPr>
          </w:p>
        </w:tc>
        <w:tc>
          <w:tcPr>
            <w:tcW w:w="4275" w:type="pct"/>
            <w:vMerge/>
          </w:tcPr>
          <w:p w:rsidR="00A92783" w:rsidRDefault="00A92783" w:rsidP="00F846FC">
            <w:pPr>
              <w:rPr>
                <w:rFonts w:ascii="Arial" w:hAnsi="Arial" w:cs="Arial"/>
                <w:sz w:val="18"/>
                <w:szCs w:val="18"/>
                <w:lang w:val="hr-HR"/>
              </w:rPr>
            </w:pPr>
          </w:p>
        </w:tc>
      </w:tr>
      <w:tr w:rsidR="00D176BD" w:rsidRPr="005616FF" w:rsidTr="00A92783">
        <w:trPr>
          <w:trHeight w:val="588"/>
        </w:trPr>
        <w:tc>
          <w:tcPr>
            <w:tcW w:w="725" w:type="pct"/>
            <w:tcBorders>
              <w:bottom w:val="single" w:sz="4" w:space="0" w:color="auto"/>
            </w:tcBorders>
          </w:tcPr>
          <w:p w:rsidR="002B5AA5" w:rsidRPr="00AD2C5B" w:rsidRDefault="00823329" w:rsidP="00F846FC">
            <w:pPr>
              <w:rPr>
                <w:rFonts w:ascii="Arial" w:hAnsi="Arial" w:cs="Arial"/>
                <w:b/>
                <w:sz w:val="18"/>
                <w:szCs w:val="18"/>
              </w:rPr>
            </w:pPr>
            <w:r>
              <w:rPr>
                <w:rFonts w:ascii="Arial" w:hAnsi="Arial" w:cs="Arial"/>
                <w:b/>
                <w:sz w:val="18"/>
                <w:szCs w:val="18"/>
              </w:rPr>
              <w:t>Dodatni troškovi</w:t>
            </w:r>
          </w:p>
        </w:tc>
        <w:tc>
          <w:tcPr>
            <w:tcW w:w="4275" w:type="pct"/>
            <w:tcBorders>
              <w:bottom w:val="single" w:sz="4" w:space="0" w:color="auto"/>
            </w:tcBorders>
          </w:tcPr>
          <w:p w:rsidR="007474DD" w:rsidRDefault="007474DD" w:rsidP="00F846FC">
            <w:pPr>
              <w:rPr>
                <w:rFonts w:ascii="Arial" w:hAnsi="Arial" w:cs="Arial"/>
                <w:sz w:val="18"/>
                <w:szCs w:val="18"/>
              </w:rPr>
            </w:pPr>
          </w:p>
          <w:p w:rsidR="008F5C74" w:rsidRDefault="005C17C4" w:rsidP="00F846FC">
            <w:pPr>
              <w:rPr>
                <w:rFonts w:ascii="Arial" w:hAnsi="Arial" w:cs="Arial"/>
                <w:sz w:val="18"/>
                <w:szCs w:val="18"/>
              </w:rPr>
            </w:pPr>
            <w:r w:rsidRPr="00F53665">
              <w:rPr>
                <w:rFonts w:ascii="Arial" w:hAnsi="Arial" w:cs="Arial"/>
                <w:sz w:val="18"/>
                <w:szCs w:val="18"/>
              </w:rPr>
              <w:t>Solemnizacija Izjave o zapljeni po pristanku dužnika, zadužnice kod javnog bilježnika kao i ostale kreditne dokumentacije za koju je zakonom propisana ovjera potpisa</w:t>
            </w:r>
            <w:r>
              <w:rPr>
                <w:rFonts w:ascii="Arial" w:hAnsi="Arial" w:cs="Arial"/>
                <w:sz w:val="18"/>
                <w:szCs w:val="18"/>
              </w:rPr>
              <w:t xml:space="preserve">. </w:t>
            </w:r>
          </w:p>
          <w:p w:rsidR="008F5C74" w:rsidRPr="009F6714" w:rsidRDefault="008F5C74" w:rsidP="00F15643">
            <w:pPr>
              <w:rPr>
                <w:rFonts w:ascii="Arial" w:hAnsi="Arial" w:cs="Arial"/>
                <w:sz w:val="18"/>
                <w:szCs w:val="18"/>
                <w:highlight w:val="yellow"/>
              </w:rPr>
            </w:pPr>
          </w:p>
        </w:tc>
      </w:tr>
      <w:tr w:rsidR="0077011D" w:rsidRPr="00517506" w:rsidTr="00667018">
        <w:tc>
          <w:tcPr>
            <w:tcW w:w="5000" w:type="pct"/>
            <w:gridSpan w:val="2"/>
            <w:shd w:val="clear" w:color="auto" w:fill="00703C"/>
          </w:tcPr>
          <w:p w:rsidR="0077011D" w:rsidRPr="005616FF" w:rsidRDefault="0063730A" w:rsidP="00F846FC">
            <w:pPr>
              <w:rPr>
                <w:rFonts w:ascii="Arial" w:hAnsi="Arial" w:cs="Arial"/>
                <w:b/>
                <w:color w:val="FFFFFF" w:themeColor="background1"/>
                <w:sz w:val="18"/>
                <w:szCs w:val="18"/>
              </w:rPr>
            </w:pPr>
            <w:r w:rsidRPr="005616FF">
              <w:rPr>
                <w:rFonts w:ascii="Arial" w:hAnsi="Arial" w:cs="Arial"/>
                <w:b/>
                <w:color w:val="FFFFFF" w:themeColor="background1"/>
                <w:sz w:val="18"/>
                <w:szCs w:val="18"/>
              </w:rPr>
              <w:t>Rizici povezani s kreditom</w:t>
            </w:r>
            <w:r w:rsidRPr="005616FF">
              <w:rPr>
                <w:rFonts w:ascii="Arial" w:hAnsi="Arial" w:cs="Arial"/>
                <w:b/>
                <w:color w:val="FFFFFF" w:themeColor="background1"/>
                <w:sz w:val="18"/>
                <w:szCs w:val="18"/>
              </w:rPr>
              <w:tab/>
            </w:r>
          </w:p>
        </w:tc>
      </w:tr>
      <w:tr w:rsidR="00E3528F" w:rsidRPr="00A92783" w:rsidTr="00A92783">
        <w:trPr>
          <w:trHeight w:val="691"/>
        </w:trPr>
        <w:tc>
          <w:tcPr>
            <w:tcW w:w="725" w:type="pct"/>
          </w:tcPr>
          <w:p w:rsidR="0063730A" w:rsidRPr="00B4345C" w:rsidRDefault="0063730A" w:rsidP="00F846FC">
            <w:pPr>
              <w:rPr>
                <w:rFonts w:ascii="Arial" w:hAnsi="Arial" w:cs="Arial"/>
                <w:b/>
                <w:sz w:val="18"/>
                <w:szCs w:val="18"/>
                <w:lang w:val="it-IT"/>
              </w:rPr>
            </w:pPr>
            <w:r w:rsidRPr="00B4345C">
              <w:rPr>
                <w:rFonts w:ascii="Arial" w:hAnsi="Arial" w:cs="Arial"/>
                <w:b/>
                <w:sz w:val="18"/>
                <w:szCs w:val="18"/>
                <w:lang w:val="it-IT"/>
              </w:rPr>
              <w:t>Rizik promjene tečaja valute - krediti sa valutnom klauzulom</w:t>
            </w: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p w:rsidR="002B5AA5" w:rsidRPr="00B4345C" w:rsidRDefault="002B5AA5" w:rsidP="00F846FC">
            <w:pPr>
              <w:rPr>
                <w:rFonts w:ascii="Arial" w:hAnsi="Arial" w:cs="Arial"/>
                <w:sz w:val="18"/>
                <w:szCs w:val="18"/>
                <w:lang w:val="it-IT"/>
              </w:rPr>
            </w:pPr>
          </w:p>
        </w:tc>
        <w:tc>
          <w:tcPr>
            <w:tcW w:w="4275" w:type="pct"/>
          </w:tcPr>
          <w:p w:rsidR="008F5C74"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xml:space="preserve">• Obzirom da je valuta plaćanja HRK, a kredit je vezan uz valutnu klauzulu u EUR, vrijednost nedospjele glavnice (dugovanja), a posljedično i iznos anuiteta vezani su na srednji tečaj EUR/HRK na dan dospijeća anuiteta, stoga je prisutan i rizik promjene iznosa dugovanja (anuiteta) obzirom na promjenu tečaja. Dakle iznos dugovanja (anuiteta) i može imati veću ili manju vrijednost u odnosu na dan isplate kredita. </w:t>
            </w: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Ukoliko tečaj EUR/HRK raste, iznos dugovanja (anuiteta) izraženog u kunama se povećava, a ukoliko tečaj EUR/HRK pada iznos dugovanja (anuiteta) izraženog u kunama se smanjuje.</w:t>
            </w: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Valutna klauzula vezana uz EUR je ugovorna odredba kojom se ugovorne obveze (glavnica, kamate, druge novčane obveze) izražavaju u kunskoj protuvrijednosti valute EUR prema ugovorom definiranom tečaju. U depozitno kreditnim poslovima ugovorenim s potrošačima, Zakonom o kreditnim institucijama čl. 302. definirana je primjena srednjeg tečaja Hrvatske narodne banke (HNB) na dan transakcije, te se isto primjenjuje od dana stupanja te odredbe na snagu sukladno Zakonu o izmjenama i dopunama Zakona o kreditnim institucijama</w:t>
            </w: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U kreditnim poslovima pojam kredita uz valutnu klauzulu u EUR, podrazumijeva kredit koji je izražen u eurima, a njegova isplata i povrat vrši se u domaćoj valuti, odnosno kuni, obračunato prema važećem srednjem tečaju HNB-a na dan transakcije</w:t>
            </w: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Ugovaranjem valutne klauzule sve ugovorne strane preuzimaju valutni rizik s obzirom da njihovo ugovaranje utječe na njihov financijski položaj jer se kunska protuvrijednost anuiteta, rate ili mjesečnog obroka po kreditu mijenja u ovisnosti o kretanju tečaja valute u kojoj je ugovorena valutna klauzula</w:t>
            </w: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Slijedom svega navedenog, potrebno je voditi računa prilikom utvrđivanja samog iznosa kredita koji se ugovara s valutnom klauzulom budući da će se uslijed rasta tečaja EUR-a u odnosu na HRK vaša mjesečna obveza po kreditu uz valutnu klauzulu u EUR povećati dok će se u slučaju pada tečaja EUR-a u odnosu na HRK mjesečna obveza po kreditu uz valutnu klauzulu u EUR smanjiti. Takve promjene tečaja mogu imati utjecaja na vašu mogućnost redovitog podmirivanja ugovornih obveza</w:t>
            </w:r>
          </w:p>
          <w:p w:rsidR="00823329" w:rsidRDefault="00F97126" w:rsidP="00F846FC">
            <w:pPr>
              <w:rPr>
                <w:rFonts w:ascii="Arial" w:hAnsi="Arial" w:cs="Arial"/>
                <w:color w:val="000000"/>
                <w:sz w:val="18"/>
                <w:szCs w:val="18"/>
                <w:lang w:val="hr-HR"/>
              </w:rPr>
            </w:pPr>
            <w:r>
              <w:rPr>
                <w:rFonts w:ascii="Arial" w:hAnsi="Arial" w:cs="Arial"/>
                <w:color w:val="000000"/>
                <w:sz w:val="18"/>
                <w:szCs w:val="18"/>
                <w:lang w:val="hr-HR"/>
              </w:rPr>
              <w:t>• Obzirom da nije moguće izvjesno i sigurno predvidjeti promjene tečaja u trenutku sklapanja Ugovora o kreditu, važno je naglasiti kako na svakoj ugovornoj strani leži odgovornost procjene svog vlastitog interesa i sposobnosti podmirenja obveza u slučaju prihvaćanja takvog rizika.</w:t>
            </w:r>
          </w:p>
          <w:p w:rsidR="00B01B8A" w:rsidRDefault="00B01B8A" w:rsidP="00F846FC">
            <w:pPr>
              <w:rPr>
                <w:rFonts w:ascii="Arial" w:hAnsi="Arial" w:cs="Arial"/>
                <w:sz w:val="18"/>
                <w:szCs w:val="18"/>
                <w:lang w:val="de-DE"/>
              </w:rPr>
            </w:pPr>
          </w:p>
          <w:p w:rsidR="00EA0192" w:rsidRDefault="00EA0192" w:rsidP="006F74C8">
            <w:pPr>
              <w:rPr>
                <w:rFonts w:ascii="Arial" w:hAnsi="Arial" w:cs="Arial"/>
                <w:sz w:val="18"/>
                <w:szCs w:val="18"/>
                <w:lang w:val="de-DE"/>
              </w:rPr>
            </w:pPr>
            <w:r w:rsidRPr="00EA0192">
              <w:rPr>
                <w:rFonts w:ascii="Arial" w:hAnsi="Arial" w:cs="Arial"/>
                <w:sz w:val="18"/>
                <w:szCs w:val="18"/>
                <w:lang w:val="de-DE"/>
              </w:rPr>
              <w:t>Nije primjenjivo za kredite u kunama</w:t>
            </w:r>
            <w:r>
              <w:rPr>
                <w:rFonts w:ascii="Arial" w:hAnsi="Arial" w:cs="Arial"/>
                <w:sz w:val="18"/>
                <w:szCs w:val="18"/>
                <w:lang w:val="de-DE"/>
              </w:rPr>
              <w:t>.</w:t>
            </w:r>
          </w:p>
          <w:p w:rsidR="006F74C8" w:rsidRPr="005616FF" w:rsidRDefault="006F74C8" w:rsidP="006F74C8">
            <w:pPr>
              <w:rPr>
                <w:rFonts w:ascii="Arial" w:hAnsi="Arial" w:cs="Arial"/>
                <w:sz w:val="18"/>
                <w:szCs w:val="18"/>
                <w:lang w:val="de-DE"/>
              </w:rPr>
            </w:pPr>
          </w:p>
        </w:tc>
      </w:tr>
      <w:tr w:rsidR="00D176BD" w:rsidRPr="00A92783" w:rsidTr="00A92783">
        <w:tc>
          <w:tcPr>
            <w:tcW w:w="725" w:type="pct"/>
          </w:tcPr>
          <w:p w:rsidR="00B02A72" w:rsidRPr="00524997" w:rsidRDefault="0063730A" w:rsidP="00F846FC">
            <w:pPr>
              <w:rPr>
                <w:rFonts w:ascii="Arial" w:hAnsi="Arial" w:cs="Arial"/>
                <w:b/>
                <w:sz w:val="18"/>
                <w:szCs w:val="18"/>
                <w:lang w:val="it-IT"/>
              </w:rPr>
            </w:pPr>
            <w:r w:rsidRPr="00524997">
              <w:rPr>
                <w:rFonts w:ascii="Arial" w:hAnsi="Arial" w:cs="Arial"/>
                <w:b/>
                <w:sz w:val="18"/>
                <w:szCs w:val="18"/>
                <w:lang w:val="it-IT"/>
              </w:rPr>
              <w:t>Rizik promjene kamatne stope</w:t>
            </w:r>
          </w:p>
          <w:p w:rsidR="00417950" w:rsidRPr="00524997" w:rsidRDefault="00417950" w:rsidP="00F846FC">
            <w:pPr>
              <w:rPr>
                <w:rFonts w:ascii="Arial" w:hAnsi="Arial" w:cs="Arial"/>
                <w:sz w:val="18"/>
                <w:szCs w:val="18"/>
                <w:lang w:val="it-IT"/>
              </w:rPr>
            </w:pPr>
            <w:r w:rsidRPr="00524997">
              <w:rPr>
                <w:rFonts w:ascii="Arial" w:hAnsi="Arial" w:cs="Arial"/>
                <w:sz w:val="18"/>
                <w:szCs w:val="18"/>
                <w:lang w:val="it-IT"/>
              </w:rPr>
              <w:t>(odnosi na kredite s Ugovorenom promjenjivom kamatnom stopom)</w:t>
            </w:r>
          </w:p>
          <w:p w:rsidR="0063730A" w:rsidRPr="00524997" w:rsidRDefault="0063730A" w:rsidP="00F846FC">
            <w:pPr>
              <w:rPr>
                <w:rFonts w:ascii="Arial" w:hAnsi="Arial" w:cs="Arial"/>
                <w:b/>
                <w:sz w:val="18"/>
                <w:szCs w:val="18"/>
                <w:lang w:val="it-IT"/>
              </w:rPr>
            </w:pPr>
          </w:p>
          <w:p w:rsidR="0063730A" w:rsidRPr="00524997" w:rsidRDefault="0063730A" w:rsidP="00F846FC">
            <w:pPr>
              <w:rPr>
                <w:rFonts w:ascii="Arial" w:hAnsi="Arial" w:cs="Arial"/>
                <w:b/>
                <w:sz w:val="18"/>
                <w:szCs w:val="18"/>
                <w:lang w:val="it-IT"/>
              </w:rPr>
            </w:pPr>
          </w:p>
          <w:p w:rsidR="0063730A" w:rsidRPr="00524997" w:rsidRDefault="0063730A" w:rsidP="00F846FC">
            <w:pPr>
              <w:rPr>
                <w:rFonts w:ascii="Arial" w:hAnsi="Arial" w:cs="Arial"/>
                <w:b/>
                <w:sz w:val="18"/>
                <w:szCs w:val="18"/>
                <w:lang w:val="it-IT"/>
              </w:rPr>
            </w:pPr>
          </w:p>
          <w:p w:rsidR="0063730A" w:rsidRPr="00524997" w:rsidRDefault="0063730A" w:rsidP="00F846FC">
            <w:pPr>
              <w:rPr>
                <w:rFonts w:ascii="Arial" w:hAnsi="Arial" w:cs="Arial"/>
                <w:b/>
                <w:sz w:val="18"/>
                <w:szCs w:val="18"/>
                <w:lang w:val="it-IT"/>
              </w:rPr>
            </w:pPr>
          </w:p>
          <w:p w:rsidR="00E3528F" w:rsidRPr="00524997" w:rsidRDefault="00E3528F" w:rsidP="00F846FC">
            <w:pPr>
              <w:rPr>
                <w:rFonts w:ascii="Arial" w:hAnsi="Arial" w:cs="Arial"/>
                <w:b/>
                <w:sz w:val="18"/>
                <w:szCs w:val="18"/>
                <w:lang w:val="it-IT"/>
              </w:rPr>
            </w:pPr>
          </w:p>
          <w:p w:rsidR="002B5AA5" w:rsidRPr="00524997" w:rsidRDefault="002B5AA5" w:rsidP="00F846FC">
            <w:pPr>
              <w:rPr>
                <w:rFonts w:ascii="Arial" w:hAnsi="Arial" w:cs="Arial"/>
                <w:b/>
                <w:sz w:val="18"/>
                <w:szCs w:val="18"/>
                <w:lang w:val="it-IT"/>
              </w:rPr>
            </w:pPr>
          </w:p>
          <w:p w:rsidR="002B5AA5" w:rsidRPr="00524997" w:rsidRDefault="002B5AA5" w:rsidP="00F846FC">
            <w:pPr>
              <w:rPr>
                <w:rFonts w:ascii="Arial" w:hAnsi="Arial" w:cs="Arial"/>
                <w:b/>
                <w:sz w:val="18"/>
                <w:szCs w:val="18"/>
                <w:lang w:val="it-IT"/>
              </w:rPr>
            </w:pPr>
          </w:p>
          <w:p w:rsidR="002B5AA5" w:rsidRPr="00524997" w:rsidRDefault="002B5AA5" w:rsidP="00F846FC">
            <w:pPr>
              <w:rPr>
                <w:rFonts w:ascii="Arial" w:hAnsi="Arial" w:cs="Arial"/>
                <w:b/>
                <w:sz w:val="18"/>
                <w:szCs w:val="18"/>
                <w:lang w:val="it-IT"/>
              </w:rPr>
            </w:pPr>
          </w:p>
          <w:p w:rsidR="002B5AA5" w:rsidRPr="00524997" w:rsidRDefault="002B5AA5" w:rsidP="00F846FC">
            <w:pPr>
              <w:rPr>
                <w:rFonts w:ascii="Arial" w:hAnsi="Arial" w:cs="Arial"/>
                <w:b/>
                <w:sz w:val="18"/>
                <w:szCs w:val="18"/>
                <w:lang w:val="it-IT"/>
              </w:rPr>
            </w:pPr>
          </w:p>
          <w:p w:rsidR="002B5AA5" w:rsidRPr="00524997" w:rsidRDefault="002B5AA5" w:rsidP="00F846FC">
            <w:pPr>
              <w:rPr>
                <w:rFonts w:ascii="Arial" w:hAnsi="Arial" w:cs="Arial"/>
                <w:b/>
                <w:sz w:val="18"/>
                <w:szCs w:val="18"/>
                <w:lang w:val="it-IT"/>
              </w:rPr>
            </w:pPr>
          </w:p>
        </w:tc>
        <w:tc>
          <w:tcPr>
            <w:tcW w:w="4275" w:type="pct"/>
          </w:tcPr>
          <w:p w:rsidR="00417950" w:rsidRDefault="00417950" w:rsidP="00F846FC">
            <w:pPr>
              <w:autoSpaceDE w:val="0"/>
              <w:autoSpaceDN w:val="0"/>
              <w:adjustRightInd w:val="0"/>
              <w:rPr>
                <w:rFonts w:ascii="Arial" w:hAnsi="Arial" w:cs="Arial"/>
                <w:color w:val="000000"/>
                <w:sz w:val="18"/>
                <w:szCs w:val="18"/>
                <w:lang w:val="hr-HR"/>
              </w:rPr>
            </w:pP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Parametri koji određuju promjenjivi dio kamatne stope podložni su promjenama te se mogu kretati na više i na niže, što će sukladno odredbama Politike kamatnih stopa u kreditno-depozitnim poslovima s potrošačima izazvati promjenu visine kamatnih stopa</w:t>
            </w: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Na kretanje promjenjivih parametara utječu odnosi ponude i potražnje na relevantnim tržištima, izmjene mjera monetarne politike, promjene očekivanja i percepcije rizika, itd.</w:t>
            </w: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Njihova promjena ne ovisi o volji ugovornih strana</w:t>
            </w: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Povećanje/smanjenje promjenjivog parametra kamatne stope za na primjer 1% bi značilo da će se visina kamatne stope povećati/smanjiti za 1%. Sukladno novo utvrđenoj kamatnoj stopi anuitet za predmetni kredit bi se ponovno izračunao</w:t>
            </w: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Što je duže razdoblje na koje se odnosi ugovorena kamatna stopa, veća je vjerojatnost, odnosno rizik promjene kamatne stope</w:t>
            </w:r>
          </w:p>
          <w:p w:rsidR="00F97126" w:rsidRDefault="00F97126" w:rsidP="00F846FC">
            <w:pPr>
              <w:autoSpaceDE w:val="0"/>
              <w:autoSpaceDN w:val="0"/>
              <w:adjustRightInd w:val="0"/>
              <w:rPr>
                <w:rFonts w:ascii="Arial" w:hAnsi="Arial" w:cs="Arial"/>
                <w:color w:val="000000"/>
                <w:sz w:val="18"/>
                <w:szCs w:val="18"/>
                <w:lang w:val="hr-HR"/>
              </w:rPr>
            </w:pP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Promjena kamatne stope ovisi o kretanju :</w:t>
            </w:r>
          </w:p>
          <w:p w:rsidR="00F97126" w:rsidRDefault="00F97126" w:rsidP="00F846FC">
            <w:pPr>
              <w:autoSpaceDE w:val="0"/>
              <w:autoSpaceDN w:val="0"/>
              <w:adjustRightInd w:val="0"/>
              <w:rPr>
                <w:rFonts w:ascii="Arial" w:hAnsi="Arial" w:cs="Arial"/>
                <w:color w:val="000000"/>
                <w:sz w:val="18"/>
                <w:szCs w:val="18"/>
                <w:lang w:val="hr-HR"/>
              </w:rPr>
            </w:pPr>
            <w:r>
              <w:rPr>
                <w:rFonts w:ascii="Times New Roman" w:hAnsi="Times New Roman" w:cs="Times New Roman"/>
                <w:color w:val="000000"/>
                <w:sz w:val="18"/>
                <w:szCs w:val="18"/>
                <w:lang w:val="hr-HR"/>
              </w:rPr>
              <w:t xml:space="preserve">     - </w:t>
            </w:r>
            <w:r>
              <w:rPr>
                <w:rFonts w:ascii="Arial" w:hAnsi="Arial" w:cs="Arial"/>
                <w:color w:val="000000"/>
                <w:sz w:val="18"/>
                <w:szCs w:val="18"/>
                <w:lang w:val="hr-HR"/>
              </w:rPr>
              <w:t>6 mjesečnom EURIBORU ( 6M EURIBOR) – za kredite s valutnom klauzulom uz EUR</w:t>
            </w:r>
          </w:p>
          <w:p w:rsidR="00F97126" w:rsidRDefault="00F97126" w:rsidP="00F846FC">
            <w:pPr>
              <w:autoSpaceDE w:val="0"/>
              <w:autoSpaceDN w:val="0"/>
              <w:adjustRightInd w:val="0"/>
              <w:rPr>
                <w:rFonts w:ascii="Arial" w:hAnsi="Arial" w:cs="Arial"/>
                <w:color w:val="000000"/>
                <w:sz w:val="18"/>
                <w:szCs w:val="18"/>
                <w:lang w:val="hr-HR"/>
              </w:rPr>
            </w:pPr>
            <w:r>
              <w:rPr>
                <w:rFonts w:ascii="Times New Roman" w:hAnsi="Times New Roman" w:cs="Times New Roman"/>
                <w:color w:val="000000"/>
                <w:sz w:val="18"/>
                <w:szCs w:val="18"/>
                <w:lang w:val="hr-HR"/>
              </w:rPr>
              <w:t xml:space="preserve">     - </w:t>
            </w:r>
            <w:r>
              <w:rPr>
                <w:rFonts w:ascii="Arial" w:hAnsi="Arial" w:cs="Arial"/>
                <w:color w:val="000000"/>
                <w:sz w:val="18"/>
                <w:szCs w:val="18"/>
                <w:lang w:val="hr-HR"/>
              </w:rPr>
              <w:t>6 mjesečnom NRS2 za HRK (6M NRS2 za HRK) – za kredite u kunama</w:t>
            </w:r>
          </w:p>
          <w:p w:rsidR="00F97126" w:rsidRDefault="00F97126" w:rsidP="00F846FC">
            <w:pPr>
              <w:autoSpaceDE w:val="0"/>
              <w:autoSpaceDN w:val="0"/>
              <w:adjustRightInd w:val="0"/>
              <w:rPr>
                <w:rFonts w:ascii="Arial" w:hAnsi="Arial" w:cs="Arial"/>
                <w:color w:val="000000"/>
                <w:sz w:val="18"/>
                <w:szCs w:val="18"/>
                <w:lang w:val="hr-HR"/>
              </w:rPr>
            </w:pP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lastRenderedPageBreak/>
              <w:t>Primjena i promjenjivost kamatnih stopa regulirani su sljedećim aktima Banke: Politikom kamatnih stopa u kreditno-depozitnim poslovima s potrošačima, Općim uvjetima za poslovanje s građanstvom te Odlukom o kamatama i naknadama Banke, pri čemu su Politikom kamatnih stopa u kreditno-depozitnim poslovima s potrošačima, osim parametara koji mogu činiti promjenjivi dio kamatne stope, regulirane uzročno-posljedične veze kretanje parametara i utjecaja tih kretanja na visinu promjenjive kamatne stope te razdoblja u kojima se razmatra donošenje odluke o promjeni kamatne stope</w:t>
            </w:r>
          </w:p>
          <w:p w:rsidR="00F97126" w:rsidRDefault="00F97126" w:rsidP="00F846FC">
            <w:pPr>
              <w:autoSpaceDE w:val="0"/>
              <w:autoSpaceDN w:val="0"/>
              <w:adjustRightInd w:val="0"/>
              <w:rPr>
                <w:rFonts w:ascii="Arial" w:hAnsi="Arial" w:cs="Arial"/>
                <w:color w:val="000000"/>
                <w:sz w:val="18"/>
                <w:szCs w:val="18"/>
                <w:lang w:val="hr-HR"/>
              </w:rPr>
            </w:pP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 xml:space="preserve">Usklađenje s promjenom parametra / parametara, vrši se dva puta godišnje: na početku drugog (01.04.) i četvrtog (01.10.) kalendarskog tromjesečja i to prema vrijednosti parametra / parametara koji je važio mjesec dana prije usklađenja (28.02. i 31.08.; relevantni datumi), osim ako nije drugačije ugovoreno s </w:t>
            </w:r>
          </w:p>
          <w:p w:rsidR="00F97126" w:rsidRDefault="00F97126" w:rsidP="00F846FC">
            <w:pPr>
              <w:autoSpaceDE w:val="0"/>
              <w:autoSpaceDN w:val="0"/>
              <w:adjustRightInd w:val="0"/>
              <w:rPr>
                <w:rFonts w:ascii="Arial" w:hAnsi="Arial" w:cs="Arial"/>
                <w:color w:val="000000"/>
                <w:sz w:val="18"/>
                <w:szCs w:val="18"/>
                <w:lang w:val="hr-HR"/>
              </w:rPr>
            </w:pPr>
            <w:r>
              <w:rPr>
                <w:rFonts w:ascii="Arial" w:hAnsi="Arial" w:cs="Arial"/>
                <w:color w:val="000000"/>
                <w:sz w:val="18"/>
                <w:szCs w:val="18"/>
                <w:lang w:val="hr-HR"/>
              </w:rPr>
              <w:t>klijentom.</w:t>
            </w:r>
          </w:p>
          <w:p w:rsidR="00F97126" w:rsidRDefault="00F97126" w:rsidP="00F846FC">
            <w:pPr>
              <w:autoSpaceDE w:val="0"/>
              <w:autoSpaceDN w:val="0"/>
              <w:adjustRightInd w:val="0"/>
              <w:rPr>
                <w:rFonts w:ascii="Arial" w:hAnsi="Arial" w:cs="Arial"/>
                <w:color w:val="000000"/>
                <w:sz w:val="18"/>
                <w:szCs w:val="18"/>
                <w:lang w:val="hr-HR"/>
              </w:rPr>
            </w:pPr>
          </w:p>
          <w:p w:rsidR="00823329" w:rsidRDefault="00F97126" w:rsidP="00F846FC">
            <w:pPr>
              <w:rPr>
                <w:rFonts w:ascii="Arial" w:hAnsi="Arial" w:cs="Arial"/>
                <w:color w:val="0000FF"/>
                <w:sz w:val="18"/>
                <w:szCs w:val="18"/>
                <w:u w:val="single"/>
                <w:lang w:val="hr-HR"/>
              </w:rPr>
            </w:pPr>
            <w:r>
              <w:rPr>
                <w:rFonts w:ascii="Arial" w:hAnsi="Arial" w:cs="Arial"/>
                <w:color w:val="000000"/>
                <w:sz w:val="18"/>
                <w:szCs w:val="18"/>
                <w:lang w:val="hr-HR"/>
              </w:rPr>
              <w:t xml:space="preserve">Povijesni prikaz kretanja 6M EURIBORA i 6M NRS2 za HRK možete pronaći na internet stranici </w:t>
            </w:r>
            <w:hyperlink r:id="rId9" w:history="1">
              <w:r>
                <w:rPr>
                  <w:rFonts w:ascii="Arial" w:hAnsi="Arial" w:cs="Arial"/>
                  <w:color w:val="0000FF"/>
                  <w:sz w:val="18"/>
                  <w:szCs w:val="18"/>
                  <w:u w:val="single"/>
                  <w:lang w:val="hr-HR"/>
                </w:rPr>
                <w:t>www.sberbank.hr</w:t>
              </w:r>
            </w:hyperlink>
            <w:r w:rsidR="00C51A1B">
              <w:rPr>
                <w:rFonts w:ascii="Arial" w:hAnsi="Arial" w:cs="Arial"/>
                <w:color w:val="0000FF"/>
                <w:sz w:val="18"/>
                <w:szCs w:val="18"/>
                <w:u w:val="single"/>
                <w:lang w:val="hr-HR"/>
              </w:rPr>
              <w:t>.</w:t>
            </w:r>
          </w:p>
          <w:p w:rsidR="00C51A1B" w:rsidRDefault="00C51A1B" w:rsidP="00F846FC">
            <w:pPr>
              <w:rPr>
                <w:rFonts w:ascii="Arial" w:hAnsi="Arial" w:cs="Arial"/>
                <w:color w:val="0000FF"/>
                <w:sz w:val="18"/>
                <w:szCs w:val="18"/>
                <w:u w:val="single"/>
                <w:lang w:val="hr-HR"/>
              </w:rPr>
            </w:pPr>
          </w:p>
          <w:p w:rsidR="00C51A1B" w:rsidRPr="00C51A1B" w:rsidRDefault="00C51A1B" w:rsidP="00C51A1B">
            <w:pPr>
              <w:autoSpaceDE w:val="0"/>
              <w:autoSpaceDN w:val="0"/>
              <w:adjustRightInd w:val="0"/>
              <w:rPr>
                <w:rFonts w:ascii="Arial" w:hAnsi="Arial" w:cs="Arial"/>
                <w:color w:val="000000"/>
                <w:sz w:val="18"/>
                <w:szCs w:val="18"/>
                <w:lang w:val="hr-HR"/>
              </w:rPr>
            </w:pPr>
            <w:r w:rsidRPr="00C51A1B">
              <w:rPr>
                <w:rFonts w:ascii="Arial" w:hAnsi="Arial" w:cs="Arial"/>
                <w:color w:val="000000"/>
                <w:sz w:val="18"/>
                <w:szCs w:val="18"/>
                <w:lang w:val="hr-HR"/>
              </w:rPr>
              <w:t xml:space="preserve">U slučaju prestanka postojanja promjenjivog elementa, odnosno ugovorenog parametra promjenjivih kamatnih stopa tijekom postojanja prava i obveza iz kreditnog posla koji je ugovoren primjenom odnosnog </w:t>
            </w:r>
          </w:p>
          <w:p w:rsidR="00C51A1B" w:rsidRPr="00C51A1B" w:rsidRDefault="00C51A1B" w:rsidP="00C51A1B">
            <w:pPr>
              <w:autoSpaceDE w:val="0"/>
              <w:autoSpaceDN w:val="0"/>
              <w:adjustRightInd w:val="0"/>
              <w:rPr>
                <w:rFonts w:ascii="Arial" w:hAnsi="Arial" w:cs="Arial"/>
                <w:color w:val="000000"/>
                <w:sz w:val="18"/>
                <w:szCs w:val="18"/>
                <w:lang w:val="hr-HR"/>
              </w:rPr>
            </w:pPr>
            <w:r w:rsidRPr="00C51A1B">
              <w:rPr>
                <w:rFonts w:ascii="Arial" w:hAnsi="Arial" w:cs="Arial"/>
                <w:color w:val="000000"/>
                <w:sz w:val="18"/>
                <w:szCs w:val="18"/>
                <w:lang w:val="hr-HR"/>
              </w:rPr>
              <w:t xml:space="preserve">promjenjivog elementa, nadalje će se ponajprije primjenjivati onaj parametar koji će po mjerodavnim javno dostupnim pravilima, neovisnima o volji ugovornih strana, od strane tijela, odnosno osobe koja je parametar </w:t>
            </w:r>
          </w:p>
          <w:p w:rsidR="00C51A1B" w:rsidRPr="00C51A1B" w:rsidRDefault="00C51A1B" w:rsidP="00C51A1B">
            <w:pPr>
              <w:autoSpaceDE w:val="0"/>
              <w:autoSpaceDN w:val="0"/>
              <w:adjustRightInd w:val="0"/>
              <w:rPr>
                <w:rFonts w:ascii="Arial" w:hAnsi="Arial" w:cs="Arial"/>
                <w:color w:val="000000"/>
                <w:sz w:val="18"/>
                <w:szCs w:val="18"/>
                <w:lang w:val="hr-HR"/>
              </w:rPr>
            </w:pPr>
            <w:r w:rsidRPr="00C51A1B">
              <w:rPr>
                <w:rFonts w:ascii="Arial" w:hAnsi="Arial" w:cs="Arial"/>
                <w:color w:val="000000"/>
                <w:sz w:val="18"/>
                <w:szCs w:val="18"/>
                <w:lang w:val="hr-HR"/>
              </w:rPr>
              <w:t>određivala,biti određen kao zamjena za parametar koji je prestao postojati.</w:t>
            </w:r>
          </w:p>
          <w:p w:rsidR="00C51A1B" w:rsidRPr="00C51A1B" w:rsidRDefault="00C51A1B" w:rsidP="00C51A1B">
            <w:pPr>
              <w:autoSpaceDE w:val="0"/>
              <w:autoSpaceDN w:val="0"/>
              <w:adjustRightInd w:val="0"/>
              <w:rPr>
                <w:rFonts w:ascii="Arial" w:hAnsi="Arial" w:cs="Arial"/>
                <w:color w:val="000000"/>
                <w:sz w:val="18"/>
                <w:szCs w:val="18"/>
                <w:lang w:val="hr-HR"/>
              </w:rPr>
            </w:pPr>
            <w:r w:rsidRPr="00C51A1B">
              <w:rPr>
                <w:rFonts w:ascii="Arial" w:hAnsi="Arial" w:cs="Arial"/>
                <w:color w:val="000000"/>
                <w:sz w:val="18"/>
                <w:szCs w:val="18"/>
                <w:lang w:val="hr-HR"/>
              </w:rPr>
              <w:t xml:space="preserve">Za slučaj da prestankom postojanja odnosnog parametra on ne bude na navedeni način zamjenjiv drugim parametrom, na ugovorni odnos će se nadalje primjenjivati drugi parametar koji se može primjenjivati </w:t>
            </w:r>
          </w:p>
          <w:p w:rsidR="00C51A1B" w:rsidRPr="00C51A1B" w:rsidRDefault="00C51A1B" w:rsidP="00C51A1B">
            <w:pPr>
              <w:autoSpaceDE w:val="0"/>
              <w:autoSpaceDN w:val="0"/>
              <w:adjustRightInd w:val="0"/>
              <w:rPr>
                <w:rFonts w:ascii="Arial" w:hAnsi="Arial" w:cs="Arial"/>
                <w:color w:val="000000"/>
                <w:sz w:val="18"/>
                <w:szCs w:val="18"/>
                <w:lang w:val="hr-HR"/>
              </w:rPr>
            </w:pPr>
            <w:r w:rsidRPr="00C51A1B">
              <w:rPr>
                <w:rFonts w:ascii="Arial" w:hAnsi="Arial" w:cs="Arial"/>
                <w:color w:val="000000"/>
                <w:sz w:val="18"/>
                <w:szCs w:val="18"/>
                <w:lang w:val="hr-HR"/>
              </w:rPr>
              <w:t>u skladu s Politikom kamatnih stopa u kreditno-depozitnim poslovima s potrošaćima,  koji je primjenjiv s obzirom na ugovorenu valutu kreditne obveze. Zamjena parametra će se obaviti u najkraćem razumnom roku nakon prestanka postojanja ugovorenog parametra.</w:t>
            </w:r>
          </w:p>
          <w:p w:rsidR="00C51A1B" w:rsidRPr="00C51A1B" w:rsidRDefault="00C51A1B" w:rsidP="00C51A1B">
            <w:pPr>
              <w:autoSpaceDE w:val="0"/>
              <w:autoSpaceDN w:val="0"/>
              <w:adjustRightInd w:val="0"/>
              <w:rPr>
                <w:rFonts w:ascii="Arial" w:hAnsi="Arial" w:cs="Arial"/>
                <w:color w:val="000000"/>
                <w:sz w:val="18"/>
                <w:szCs w:val="18"/>
                <w:lang w:val="hr-HR"/>
              </w:rPr>
            </w:pPr>
            <w:r w:rsidRPr="00C51A1B">
              <w:rPr>
                <w:rFonts w:ascii="Arial" w:hAnsi="Arial" w:cs="Arial"/>
                <w:color w:val="000000"/>
                <w:sz w:val="18"/>
                <w:szCs w:val="18"/>
                <w:lang w:val="hr-HR"/>
              </w:rPr>
              <w:t xml:space="preserve">U svakom slučaju zamjene ugovorenog parametra drugim, kamatna stopa koja će biti zatečena kao postojeća u trenutku prestanka ugovorenog parametra ne može biti izmijenjena zbog samog prestanka postojanja </w:t>
            </w:r>
          </w:p>
          <w:p w:rsidR="00C51A1B" w:rsidRPr="00C51A1B" w:rsidRDefault="00C51A1B" w:rsidP="00C51A1B">
            <w:pPr>
              <w:autoSpaceDE w:val="0"/>
              <w:autoSpaceDN w:val="0"/>
              <w:adjustRightInd w:val="0"/>
              <w:rPr>
                <w:rFonts w:ascii="Arial" w:hAnsi="Arial" w:cs="Arial"/>
                <w:color w:val="000000"/>
                <w:sz w:val="18"/>
                <w:szCs w:val="18"/>
                <w:lang w:val="hr-HR"/>
              </w:rPr>
            </w:pPr>
            <w:r w:rsidRPr="00C51A1B">
              <w:rPr>
                <w:rFonts w:ascii="Arial" w:hAnsi="Arial" w:cs="Arial"/>
                <w:color w:val="000000"/>
                <w:sz w:val="18"/>
                <w:szCs w:val="18"/>
                <w:lang w:val="hr-HR"/>
              </w:rPr>
              <w:t xml:space="preserve">parametra, nego će se zamjenom parametra zadržati tada zatečena kamatna stopa, tako da će se u mjeri u kojoj novi parametar u vrijeme zamjene parametara bude visinom razlièit od onoga koji je prestao </w:t>
            </w:r>
          </w:p>
          <w:p w:rsidR="00C51A1B" w:rsidRPr="00C51A1B" w:rsidRDefault="00C51A1B" w:rsidP="00C51A1B">
            <w:pPr>
              <w:autoSpaceDE w:val="0"/>
              <w:autoSpaceDN w:val="0"/>
              <w:adjustRightInd w:val="0"/>
              <w:rPr>
                <w:rFonts w:ascii="Arial" w:hAnsi="Arial" w:cs="Arial"/>
                <w:color w:val="000000"/>
                <w:sz w:val="18"/>
                <w:szCs w:val="18"/>
                <w:lang w:val="hr-HR"/>
              </w:rPr>
            </w:pPr>
            <w:r w:rsidRPr="00C51A1B">
              <w:rPr>
                <w:rFonts w:ascii="Arial" w:hAnsi="Arial" w:cs="Arial"/>
                <w:color w:val="000000"/>
                <w:sz w:val="18"/>
                <w:szCs w:val="18"/>
                <w:lang w:val="hr-HR"/>
              </w:rPr>
              <w:t>postojati (viši ili niži), iznimno za takav slučaj odgovarajuće korigirati fiksni dio kamatne stope.</w:t>
            </w:r>
          </w:p>
          <w:p w:rsidR="00C51A1B" w:rsidRPr="00C51A1B" w:rsidRDefault="00C51A1B" w:rsidP="00C51A1B">
            <w:pPr>
              <w:autoSpaceDE w:val="0"/>
              <w:autoSpaceDN w:val="0"/>
              <w:adjustRightInd w:val="0"/>
              <w:rPr>
                <w:rFonts w:ascii="Arial" w:hAnsi="Arial" w:cs="Arial"/>
                <w:color w:val="000000"/>
                <w:sz w:val="18"/>
                <w:szCs w:val="18"/>
                <w:lang w:val="hr-HR"/>
              </w:rPr>
            </w:pPr>
          </w:p>
          <w:p w:rsidR="00C51A1B" w:rsidRPr="00C51A1B" w:rsidRDefault="00C51A1B" w:rsidP="00C51A1B">
            <w:pPr>
              <w:autoSpaceDE w:val="0"/>
              <w:autoSpaceDN w:val="0"/>
              <w:adjustRightInd w:val="0"/>
              <w:rPr>
                <w:rFonts w:ascii="Arial" w:hAnsi="Arial" w:cs="Arial"/>
                <w:color w:val="000000"/>
                <w:sz w:val="18"/>
                <w:szCs w:val="18"/>
                <w:lang w:val="hr-HR"/>
              </w:rPr>
            </w:pPr>
            <w:r w:rsidRPr="00C51A1B">
              <w:rPr>
                <w:rFonts w:ascii="Arial" w:hAnsi="Arial" w:cs="Arial"/>
                <w:color w:val="000000"/>
                <w:sz w:val="18"/>
                <w:szCs w:val="18"/>
                <w:lang w:val="hr-HR"/>
              </w:rPr>
              <w:t>U slučaju da primjenom parametara koji čine promjenjivi dio kamatne stope, kamatna stopa prelazi najvišu propisima dopuštenu ugovornu kamatnu stopa, primijenit će se propisima najviša dopuštena kamatna stopa.</w:t>
            </w:r>
          </w:p>
          <w:p w:rsidR="00EA0192" w:rsidRPr="00EA0192" w:rsidRDefault="00EA0192" w:rsidP="00F846FC">
            <w:pPr>
              <w:rPr>
                <w:rFonts w:ascii="Arial" w:hAnsi="Arial" w:cs="Arial"/>
                <w:color w:val="000000"/>
                <w:sz w:val="20"/>
                <w:szCs w:val="18"/>
                <w:lang w:val="hr-HR"/>
              </w:rPr>
            </w:pPr>
          </w:p>
          <w:p w:rsidR="008F5C74" w:rsidRPr="00EA0192" w:rsidRDefault="00EA0192" w:rsidP="00F846FC">
            <w:pPr>
              <w:rPr>
                <w:rFonts w:ascii="Arial" w:hAnsi="Arial" w:cs="Arial"/>
                <w:sz w:val="18"/>
                <w:szCs w:val="16"/>
                <w:lang w:val="hr-HR"/>
              </w:rPr>
            </w:pPr>
            <w:r w:rsidRPr="00EA0192">
              <w:rPr>
                <w:rFonts w:ascii="Arial" w:hAnsi="Arial" w:cs="Arial"/>
                <w:sz w:val="18"/>
                <w:szCs w:val="16"/>
                <w:lang w:val="hr-HR"/>
              </w:rPr>
              <w:t>Nije primjenjivo za kredite sa fiksnom kamatnom stopom za cijeli period trajanja kredita.</w:t>
            </w:r>
          </w:p>
          <w:p w:rsidR="00EA0192" w:rsidRPr="00B4345C" w:rsidRDefault="00EA0192" w:rsidP="00F846FC">
            <w:pPr>
              <w:rPr>
                <w:rFonts w:ascii="Arial" w:hAnsi="Arial" w:cs="Arial"/>
                <w:sz w:val="18"/>
                <w:szCs w:val="18"/>
                <w:lang w:val="hr-HR"/>
              </w:rPr>
            </w:pPr>
          </w:p>
        </w:tc>
      </w:tr>
      <w:tr w:rsidR="00E3528F" w:rsidRPr="00A92783" w:rsidTr="00A92783">
        <w:tc>
          <w:tcPr>
            <w:tcW w:w="725" w:type="pct"/>
          </w:tcPr>
          <w:p w:rsidR="002B5AA5" w:rsidRPr="00517506" w:rsidRDefault="0063730A" w:rsidP="00F846FC">
            <w:pPr>
              <w:rPr>
                <w:rFonts w:ascii="Arial" w:hAnsi="Arial" w:cs="Arial"/>
                <w:b/>
                <w:sz w:val="18"/>
                <w:szCs w:val="18"/>
              </w:rPr>
            </w:pPr>
            <w:r w:rsidRPr="00517506">
              <w:rPr>
                <w:rFonts w:ascii="Arial" w:hAnsi="Arial" w:cs="Arial"/>
                <w:b/>
                <w:sz w:val="18"/>
                <w:szCs w:val="18"/>
              </w:rPr>
              <w:lastRenderedPageBreak/>
              <w:t>Rizik neispunjavanja ugovornih obaveza</w:t>
            </w:r>
          </w:p>
          <w:p w:rsidR="002B5AA5" w:rsidRPr="00517506" w:rsidRDefault="002B5AA5" w:rsidP="00F846FC">
            <w:pPr>
              <w:rPr>
                <w:rFonts w:ascii="Arial" w:hAnsi="Arial" w:cs="Arial"/>
                <w:b/>
                <w:sz w:val="18"/>
                <w:szCs w:val="18"/>
              </w:rPr>
            </w:pPr>
          </w:p>
          <w:p w:rsidR="002B5AA5" w:rsidRPr="00517506" w:rsidRDefault="002B5AA5" w:rsidP="00F846FC">
            <w:pPr>
              <w:rPr>
                <w:rFonts w:ascii="Arial" w:hAnsi="Arial" w:cs="Arial"/>
                <w:b/>
                <w:sz w:val="18"/>
                <w:szCs w:val="18"/>
              </w:rPr>
            </w:pPr>
          </w:p>
          <w:p w:rsidR="002B5AA5" w:rsidRPr="00517506" w:rsidRDefault="002B5AA5" w:rsidP="00F846FC">
            <w:pPr>
              <w:rPr>
                <w:rFonts w:ascii="Arial" w:hAnsi="Arial" w:cs="Arial"/>
                <w:b/>
                <w:sz w:val="18"/>
                <w:szCs w:val="18"/>
              </w:rPr>
            </w:pPr>
          </w:p>
          <w:p w:rsidR="002B5AA5" w:rsidRPr="00517506" w:rsidRDefault="002B5AA5" w:rsidP="00F846FC">
            <w:pPr>
              <w:rPr>
                <w:rFonts w:ascii="Arial" w:hAnsi="Arial" w:cs="Arial"/>
                <w:b/>
                <w:sz w:val="18"/>
                <w:szCs w:val="18"/>
              </w:rPr>
            </w:pPr>
          </w:p>
          <w:p w:rsidR="002B5AA5" w:rsidRPr="00517506" w:rsidRDefault="002B5AA5" w:rsidP="00F846FC">
            <w:pPr>
              <w:rPr>
                <w:rFonts w:ascii="Arial" w:hAnsi="Arial" w:cs="Arial"/>
                <w:b/>
                <w:sz w:val="18"/>
                <w:szCs w:val="18"/>
              </w:rPr>
            </w:pPr>
          </w:p>
          <w:p w:rsidR="002B5AA5" w:rsidRPr="00517506" w:rsidRDefault="002B5AA5" w:rsidP="00F846FC">
            <w:pPr>
              <w:rPr>
                <w:rFonts w:ascii="Arial" w:hAnsi="Arial" w:cs="Arial"/>
                <w:b/>
                <w:sz w:val="18"/>
                <w:szCs w:val="18"/>
              </w:rPr>
            </w:pPr>
          </w:p>
        </w:tc>
        <w:tc>
          <w:tcPr>
            <w:tcW w:w="4275" w:type="pct"/>
          </w:tcPr>
          <w:p w:rsidR="0063730A" w:rsidRPr="0063730A" w:rsidRDefault="0063730A" w:rsidP="00F846FC">
            <w:pPr>
              <w:rPr>
                <w:rFonts w:ascii="Arial" w:hAnsi="Arial" w:cs="Arial"/>
                <w:sz w:val="18"/>
                <w:szCs w:val="18"/>
              </w:rPr>
            </w:pPr>
            <w:r w:rsidRPr="0063730A">
              <w:rPr>
                <w:rFonts w:ascii="Arial" w:hAnsi="Arial" w:cs="Arial"/>
                <w:sz w:val="18"/>
                <w:szCs w:val="18"/>
              </w:rPr>
              <w:t>Ukoliko gubitak prihoda potrošača dovede do neizvršavanja obveza iz Ugovora o kreditu, od strane bilo kojeg obveznika vraćanja kredita, Banka može odmah, bez slanja opomene otkazati Ugovor o kreditu i proglasiti kredit dospjelim u cijelosti i prije roka otplate ugovorenog kredita. Ukoliko dođe do okolnosti koje narušavaju kreditnu sposobnost korisnika kredita, Banka je ovlaštena proglasiti dospjelim preostali iznos duga u cijelosti, odnosno otkazati Ugovor o kreditu. U slučaju otkaza ugovora i/ili postojanja nepodmirenih dospjelih potraživanja Banka može aktivirati instrumente osiguranja iz ugovora i/ili pokrenuti mjere prisilne naplate</w:t>
            </w:r>
          </w:p>
          <w:p w:rsidR="002B6DF8" w:rsidRDefault="0063730A" w:rsidP="00F846FC">
            <w:pPr>
              <w:rPr>
                <w:rFonts w:ascii="Arial" w:hAnsi="Arial" w:cs="Arial"/>
                <w:sz w:val="18"/>
                <w:szCs w:val="18"/>
              </w:rPr>
            </w:pPr>
            <w:r w:rsidRPr="0063730A">
              <w:rPr>
                <w:rFonts w:ascii="Arial" w:hAnsi="Arial" w:cs="Arial"/>
                <w:sz w:val="18"/>
                <w:szCs w:val="18"/>
              </w:rPr>
              <w:t>U slučaju nepoštivanja bilo koje točke Ugovora o kreditu, odnosno neizvršavanja obveza iz Ugovora o kreditu, od strane bilo kojeg obveznika vraćanja kredita, Banka može odmah, bez slanja opomene otkazati Ugovor o kreditu i proglasiti kredit dospjelim u cijelosti i prije roka otplate ugovorenog kredita</w:t>
            </w:r>
          </w:p>
          <w:p w:rsidR="002517FB" w:rsidRPr="00B4345C" w:rsidRDefault="002517FB" w:rsidP="00F846FC">
            <w:pPr>
              <w:rPr>
                <w:rFonts w:ascii="Arial" w:hAnsi="Arial" w:cs="Arial"/>
                <w:sz w:val="18"/>
                <w:szCs w:val="18"/>
                <w:lang w:val="it-IT"/>
              </w:rPr>
            </w:pPr>
            <w:r w:rsidRPr="00B4345C">
              <w:rPr>
                <w:rFonts w:ascii="Arial" w:hAnsi="Arial" w:cs="Arial"/>
                <w:sz w:val="18"/>
                <w:szCs w:val="18"/>
                <w:lang w:val="it-IT"/>
              </w:rPr>
              <w:t>U slučaju izostalih uplata obračunava se kamata po dospijeću u visini zakonske zatezne kamatne.</w:t>
            </w:r>
          </w:p>
          <w:p w:rsidR="002517FB" w:rsidRPr="00B4345C" w:rsidRDefault="002517FB" w:rsidP="00F846FC">
            <w:pPr>
              <w:rPr>
                <w:rFonts w:ascii="Arial" w:hAnsi="Arial" w:cs="Arial"/>
                <w:sz w:val="18"/>
                <w:szCs w:val="18"/>
                <w:lang w:val="it-IT"/>
              </w:rPr>
            </w:pPr>
            <w:r w:rsidRPr="00B4345C">
              <w:rPr>
                <w:rFonts w:ascii="Arial" w:hAnsi="Arial" w:cs="Arial"/>
                <w:sz w:val="18"/>
                <w:szCs w:val="18"/>
                <w:lang w:val="it-IT"/>
              </w:rPr>
              <w:t>Kamata po dospijeću / zatezna kamata na kredite fizičkim osobama odobrenim kod Banke koji se otplaćuju preko kunskih računa utvrđuje se u visini prosječne kamatne stope na stanja kredita odobrenih na razdoblje dulje od godine dana nefinancijskim trgovačkim društvima izračunate za referentno razdoblje ko</w:t>
            </w:r>
            <w:r w:rsidR="00497B00" w:rsidRPr="00B4345C">
              <w:rPr>
                <w:rFonts w:ascii="Arial" w:hAnsi="Arial" w:cs="Arial"/>
                <w:sz w:val="18"/>
                <w:szCs w:val="18"/>
                <w:lang w:val="it-IT"/>
              </w:rPr>
              <w:t>je prethodi tekućem polugodištu</w:t>
            </w:r>
            <w:r w:rsidRPr="00B4345C">
              <w:rPr>
                <w:rFonts w:ascii="Arial" w:hAnsi="Arial" w:cs="Arial"/>
                <w:sz w:val="18"/>
                <w:szCs w:val="18"/>
                <w:lang w:val="it-IT"/>
              </w:rPr>
              <w:t xml:space="preserve"> + 3 p.p., godišnje</w:t>
            </w:r>
          </w:p>
          <w:p w:rsidR="00F97126" w:rsidRPr="00B4345C" w:rsidRDefault="00F97126" w:rsidP="00F846FC">
            <w:pPr>
              <w:rPr>
                <w:rFonts w:ascii="Arial" w:hAnsi="Arial" w:cs="Arial"/>
                <w:sz w:val="18"/>
                <w:szCs w:val="18"/>
                <w:lang w:val="it-IT"/>
              </w:rPr>
            </w:pPr>
          </w:p>
        </w:tc>
      </w:tr>
      <w:tr w:rsidR="00E3528F" w:rsidRPr="00A92783" w:rsidTr="00A92783">
        <w:tc>
          <w:tcPr>
            <w:tcW w:w="725" w:type="pct"/>
          </w:tcPr>
          <w:p w:rsidR="0063730A" w:rsidRPr="005D47EB" w:rsidRDefault="0063730A" w:rsidP="00F846FC">
            <w:pPr>
              <w:rPr>
                <w:rFonts w:ascii="Arial" w:hAnsi="Arial" w:cs="Arial"/>
                <w:b/>
                <w:sz w:val="18"/>
                <w:szCs w:val="18"/>
                <w:lang w:val="de-DE"/>
              </w:rPr>
            </w:pPr>
            <w:r w:rsidRPr="005D47EB">
              <w:rPr>
                <w:rFonts w:ascii="Arial" w:hAnsi="Arial" w:cs="Arial"/>
                <w:b/>
                <w:sz w:val="18"/>
                <w:szCs w:val="18"/>
                <w:lang w:val="de-DE"/>
              </w:rPr>
              <w:t>Uobičajen redoslijed aktiviranja instrumenata osiguranja:</w:t>
            </w:r>
          </w:p>
          <w:p w:rsidR="00E3528F" w:rsidRPr="005D47EB" w:rsidRDefault="00E3528F" w:rsidP="00F846FC">
            <w:pPr>
              <w:rPr>
                <w:rFonts w:ascii="Arial" w:hAnsi="Arial" w:cs="Arial"/>
                <w:b/>
                <w:sz w:val="18"/>
                <w:szCs w:val="18"/>
                <w:lang w:val="de-DE"/>
              </w:rPr>
            </w:pPr>
          </w:p>
          <w:p w:rsidR="002B5AA5" w:rsidRPr="005D47EB" w:rsidRDefault="002B5AA5" w:rsidP="00F846FC">
            <w:pPr>
              <w:rPr>
                <w:rFonts w:ascii="Arial" w:hAnsi="Arial" w:cs="Arial"/>
                <w:b/>
                <w:sz w:val="18"/>
                <w:szCs w:val="18"/>
                <w:lang w:val="de-DE"/>
              </w:rPr>
            </w:pPr>
          </w:p>
          <w:p w:rsidR="002B5AA5" w:rsidRPr="005D47EB" w:rsidRDefault="002B5AA5" w:rsidP="00F846FC">
            <w:pPr>
              <w:rPr>
                <w:rFonts w:ascii="Arial" w:hAnsi="Arial" w:cs="Arial"/>
                <w:b/>
                <w:sz w:val="18"/>
                <w:szCs w:val="18"/>
                <w:lang w:val="de-DE"/>
              </w:rPr>
            </w:pPr>
          </w:p>
        </w:tc>
        <w:tc>
          <w:tcPr>
            <w:tcW w:w="4275" w:type="pct"/>
          </w:tcPr>
          <w:p w:rsidR="00F67A00" w:rsidRPr="005D47EB" w:rsidRDefault="00F67A00" w:rsidP="00F846FC">
            <w:pPr>
              <w:rPr>
                <w:rFonts w:ascii="Arial" w:hAnsi="Arial" w:cs="Arial"/>
                <w:sz w:val="18"/>
                <w:szCs w:val="18"/>
                <w:lang w:val="hr-HR"/>
              </w:rPr>
            </w:pPr>
            <w:r w:rsidRPr="005D47EB">
              <w:rPr>
                <w:rFonts w:ascii="Arial" w:hAnsi="Arial" w:cs="Arial"/>
                <w:sz w:val="18"/>
                <w:szCs w:val="18"/>
                <w:lang w:val="hr-HR"/>
              </w:rPr>
              <w:t>Uobičajen redoslijed aktiviranja instrumenata osiguranja:</w:t>
            </w:r>
          </w:p>
          <w:p w:rsidR="00F67A00" w:rsidRPr="005D47EB" w:rsidRDefault="00F67A00" w:rsidP="00F846FC">
            <w:pPr>
              <w:rPr>
                <w:rFonts w:ascii="Arial" w:hAnsi="Arial" w:cs="Arial"/>
                <w:sz w:val="18"/>
                <w:szCs w:val="18"/>
                <w:lang w:val="hr-HR"/>
              </w:rPr>
            </w:pPr>
            <w:r w:rsidRPr="005D47EB">
              <w:rPr>
                <w:rFonts w:ascii="Arial" w:hAnsi="Arial" w:cs="Arial"/>
                <w:sz w:val="18"/>
                <w:szCs w:val="18"/>
                <w:lang w:val="hr-HR"/>
              </w:rPr>
              <w:t>• aktiviranje izjave o zapljeni po pristanku dužnika / ovršna izjava svih sudionika kredita (ukoliko je primjenjivo)</w:t>
            </w:r>
          </w:p>
          <w:p w:rsidR="00F67A00" w:rsidRPr="005D47EB" w:rsidRDefault="00F67A00" w:rsidP="00B22CA5">
            <w:pPr>
              <w:rPr>
                <w:rFonts w:ascii="Arial" w:hAnsi="Arial" w:cs="Arial"/>
                <w:sz w:val="18"/>
                <w:szCs w:val="18"/>
                <w:lang w:val="hr-HR"/>
              </w:rPr>
            </w:pPr>
            <w:r w:rsidRPr="005D47EB">
              <w:rPr>
                <w:rFonts w:ascii="Arial" w:hAnsi="Arial" w:cs="Arial"/>
                <w:sz w:val="18"/>
                <w:szCs w:val="18"/>
                <w:lang w:val="hr-HR"/>
              </w:rPr>
              <w:t>• aktivir</w:t>
            </w:r>
            <w:r w:rsidR="004A6D5A" w:rsidRPr="005D47EB">
              <w:rPr>
                <w:rFonts w:ascii="Arial" w:hAnsi="Arial" w:cs="Arial"/>
                <w:sz w:val="18"/>
                <w:szCs w:val="18"/>
                <w:lang w:val="hr-HR"/>
              </w:rPr>
              <w:t>anje Suglasnosti za zapljenu rač</w:t>
            </w:r>
            <w:r w:rsidRPr="005D47EB">
              <w:rPr>
                <w:rFonts w:ascii="Arial" w:hAnsi="Arial" w:cs="Arial"/>
                <w:sz w:val="18"/>
                <w:szCs w:val="18"/>
                <w:lang w:val="hr-HR"/>
              </w:rPr>
              <w:t>una / zadužnica svih sudionika u kreditu (ukoliko je primjenjivo)</w:t>
            </w:r>
          </w:p>
          <w:p w:rsidR="0063730A" w:rsidRPr="005D47EB" w:rsidRDefault="0063730A" w:rsidP="00F846FC">
            <w:pPr>
              <w:rPr>
                <w:rFonts w:ascii="Arial" w:hAnsi="Arial" w:cs="Arial"/>
                <w:sz w:val="18"/>
                <w:szCs w:val="18"/>
                <w:lang w:val="de-DE"/>
              </w:rPr>
            </w:pPr>
          </w:p>
          <w:p w:rsidR="0063730A" w:rsidRPr="005D47EB" w:rsidRDefault="0063730A" w:rsidP="00F846FC">
            <w:pPr>
              <w:rPr>
                <w:rFonts w:ascii="Arial" w:hAnsi="Arial" w:cs="Arial"/>
                <w:sz w:val="18"/>
                <w:szCs w:val="18"/>
                <w:lang w:val="de-DE"/>
              </w:rPr>
            </w:pPr>
            <w:r w:rsidRPr="005D47EB">
              <w:rPr>
                <w:rFonts w:ascii="Arial" w:hAnsi="Arial" w:cs="Arial"/>
                <w:sz w:val="18"/>
                <w:szCs w:val="18"/>
                <w:lang w:val="de-DE"/>
              </w:rPr>
              <w:t>Banka ima pravo izabrati redoslijed aktiviranja instrumenata osiguranja prema vlastitoj procjeni</w:t>
            </w:r>
          </w:p>
          <w:p w:rsidR="00823329" w:rsidRPr="005D47EB" w:rsidRDefault="0063730A" w:rsidP="006F74C8">
            <w:pPr>
              <w:rPr>
                <w:rFonts w:ascii="Arial" w:hAnsi="Arial" w:cs="Arial"/>
                <w:sz w:val="18"/>
                <w:szCs w:val="18"/>
                <w:lang w:val="de-DE"/>
              </w:rPr>
            </w:pPr>
            <w:r w:rsidRPr="005D47EB">
              <w:rPr>
                <w:rFonts w:ascii="Arial" w:hAnsi="Arial" w:cs="Arial"/>
                <w:sz w:val="18"/>
                <w:szCs w:val="18"/>
                <w:lang w:val="de-DE"/>
              </w:rPr>
              <w:t>U slučaju neispunjavanja obveze plaćanja potrošač se obavještava putem obavijesti i opomene.</w:t>
            </w:r>
          </w:p>
        </w:tc>
      </w:tr>
      <w:tr w:rsidR="002824A2" w:rsidRPr="00345D91" w:rsidTr="00667018">
        <w:tc>
          <w:tcPr>
            <w:tcW w:w="5000" w:type="pct"/>
            <w:gridSpan w:val="2"/>
            <w:shd w:val="clear" w:color="auto" w:fill="00703C"/>
            <w:vAlign w:val="center"/>
          </w:tcPr>
          <w:p w:rsidR="002824A2" w:rsidRPr="005616FF" w:rsidRDefault="0063730A" w:rsidP="00F846FC">
            <w:pPr>
              <w:rPr>
                <w:rFonts w:ascii="Arial" w:hAnsi="Arial" w:cs="Arial"/>
                <w:b/>
                <w:color w:val="FFFFFF" w:themeColor="background1"/>
                <w:sz w:val="18"/>
                <w:szCs w:val="18"/>
              </w:rPr>
            </w:pPr>
            <w:r w:rsidRPr="005616FF">
              <w:rPr>
                <w:rFonts w:ascii="Arial" w:hAnsi="Arial" w:cs="Arial"/>
                <w:b/>
                <w:color w:val="FFFFFF" w:themeColor="background1"/>
                <w:sz w:val="18"/>
                <w:szCs w:val="18"/>
              </w:rPr>
              <w:t>Dodatne informacije</w:t>
            </w:r>
            <w:r w:rsidRPr="005616FF">
              <w:rPr>
                <w:rFonts w:ascii="Arial" w:hAnsi="Arial" w:cs="Arial"/>
                <w:b/>
                <w:color w:val="FFFFFF" w:themeColor="background1"/>
                <w:sz w:val="18"/>
                <w:szCs w:val="18"/>
              </w:rPr>
              <w:tab/>
            </w:r>
          </w:p>
        </w:tc>
      </w:tr>
      <w:tr w:rsidR="00E3528F" w:rsidRPr="00345D91" w:rsidTr="00A92783">
        <w:tc>
          <w:tcPr>
            <w:tcW w:w="725" w:type="pct"/>
          </w:tcPr>
          <w:p w:rsidR="00E3528F" w:rsidRPr="00AD2C5B" w:rsidRDefault="0063730A" w:rsidP="00F846FC">
            <w:pPr>
              <w:rPr>
                <w:rFonts w:ascii="Arial" w:hAnsi="Arial" w:cs="Arial"/>
                <w:b/>
                <w:sz w:val="18"/>
                <w:szCs w:val="18"/>
              </w:rPr>
            </w:pPr>
            <w:r w:rsidRPr="00AD2C5B">
              <w:rPr>
                <w:rFonts w:ascii="Arial" w:hAnsi="Arial" w:cs="Arial"/>
                <w:b/>
                <w:sz w:val="18"/>
                <w:szCs w:val="18"/>
              </w:rPr>
              <w:t>Savjetodavne usluge</w:t>
            </w:r>
          </w:p>
          <w:p w:rsidR="002B5AA5" w:rsidRPr="00AD2C5B" w:rsidRDefault="002B5AA5" w:rsidP="00F846FC">
            <w:pPr>
              <w:rPr>
                <w:rFonts w:ascii="Arial" w:hAnsi="Arial" w:cs="Arial"/>
                <w:b/>
                <w:sz w:val="18"/>
                <w:szCs w:val="18"/>
              </w:rPr>
            </w:pPr>
          </w:p>
        </w:tc>
        <w:tc>
          <w:tcPr>
            <w:tcW w:w="4275" w:type="pct"/>
          </w:tcPr>
          <w:p w:rsidR="00F53665" w:rsidRPr="00D176BD" w:rsidRDefault="00290339" w:rsidP="00F846FC">
            <w:pPr>
              <w:rPr>
                <w:rFonts w:ascii="Arial" w:hAnsi="Arial" w:cs="Arial"/>
                <w:sz w:val="18"/>
                <w:szCs w:val="18"/>
              </w:rPr>
            </w:pPr>
            <w:r w:rsidRPr="00290339">
              <w:rPr>
                <w:rFonts w:ascii="Arial" w:hAnsi="Arial" w:cs="Arial"/>
                <w:sz w:val="18"/>
                <w:szCs w:val="18"/>
              </w:rPr>
              <w:t xml:space="preserve">Banka se obavezuje da će, na način razumljiv klijentu, pojasniti sve uvjete kreditiranja te jasno predočiti ponudu u djelu </w:t>
            </w:r>
            <w:r w:rsidR="00F67A00">
              <w:rPr>
                <w:rFonts w:ascii="Arial" w:hAnsi="Arial" w:cs="Arial"/>
                <w:sz w:val="18"/>
                <w:szCs w:val="18"/>
              </w:rPr>
              <w:t xml:space="preserve">nenamjenskih </w:t>
            </w:r>
            <w:r w:rsidRPr="00290339">
              <w:rPr>
                <w:rFonts w:ascii="Arial" w:hAnsi="Arial" w:cs="Arial"/>
                <w:sz w:val="18"/>
                <w:szCs w:val="18"/>
              </w:rPr>
              <w:t>kredita za potrošače. Pritom Banka ne vrši savjetodavne usluge, te odluku o podizanju kredita donosi isključivo klijent.</w:t>
            </w:r>
          </w:p>
        </w:tc>
      </w:tr>
      <w:tr w:rsidR="000F0C14" w:rsidRPr="00A92783" w:rsidTr="00A92783">
        <w:tc>
          <w:tcPr>
            <w:tcW w:w="725" w:type="pct"/>
          </w:tcPr>
          <w:p w:rsidR="000F0C14" w:rsidRPr="005D47EB" w:rsidRDefault="00F53665" w:rsidP="00F846FC">
            <w:pPr>
              <w:rPr>
                <w:rFonts w:ascii="Arial" w:hAnsi="Arial" w:cs="Arial"/>
                <w:b/>
                <w:sz w:val="18"/>
                <w:szCs w:val="18"/>
              </w:rPr>
            </w:pPr>
            <w:r w:rsidRPr="005D47EB">
              <w:rPr>
                <w:rFonts w:ascii="Arial" w:hAnsi="Arial" w:cs="Arial"/>
                <w:b/>
                <w:sz w:val="18"/>
                <w:szCs w:val="18"/>
              </w:rPr>
              <w:t xml:space="preserve">Informacije o </w:t>
            </w:r>
            <w:r w:rsidR="000F0C14" w:rsidRPr="005D47EB">
              <w:rPr>
                <w:rFonts w:ascii="Arial" w:hAnsi="Arial" w:cs="Arial"/>
                <w:b/>
                <w:sz w:val="18"/>
                <w:szCs w:val="18"/>
              </w:rPr>
              <w:t>dodatnim uslugama</w:t>
            </w:r>
          </w:p>
        </w:tc>
        <w:tc>
          <w:tcPr>
            <w:tcW w:w="4275" w:type="pct"/>
          </w:tcPr>
          <w:p w:rsidR="005D47EB" w:rsidRPr="00B4345C" w:rsidRDefault="00645EDE" w:rsidP="005D47EB">
            <w:pPr>
              <w:rPr>
                <w:rFonts w:ascii="Arial" w:hAnsi="Arial" w:cs="Arial"/>
                <w:sz w:val="18"/>
                <w:szCs w:val="18"/>
                <w:lang w:val="it-IT"/>
              </w:rPr>
            </w:pPr>
            <w:r w:rsidRPr="00B4345C">
              <w:rPr>
                <w:rFonts w:ascii="Arial" w:hAnsi="Arial" w:cs="Arial"/>
                <w:sz w:val="18"/>
                <w:szCs w:val="18"/>
                <w:lang w:val="it-IT"/>
              </w:rPr>
              <w:t>K</w:t>
            </w:r>
            <w:r w:rsidR="005D47EB" w:rsidRPr="00B4345C">
              <w:rPr>
                <w:rFonts w:ascii="Arial" w:hAnsi="Arial" w:cs="Arial"/>
                <w:sz w:val="18"/>
                <w:szCs w:val="18"/>
                <w:lang w:val="it-IT"/>
              </w:rPr>
              <w:t>orisnik kredita</w:t>
            </w:r>
            <w:r w:rsidRPr="00B4345C">
              <w:rPr>
                <w:rFonts w:ascii="Arial" w:hAnsi="Arial" w:cs="Arial"/>
                <w:sz w:val="18"/>
                <w:szCs w:val="18"/>
                <w:lang w:val="it-IT"/>
              </w:rPr>
              <w:t xml:space="preserve"> može ugovoriti</w:t>
            </w:r>
            <w:r w:rsidR="005D47EB" w:rsidRPr="00B4345C">
              <w:rPr>
                <w:rFonts w:ascii="Arial" w:hAnsi="Arial" w:cs="Arial"/>
                <w:sz w:val="18"/>
                <w:szCs w:val="18"/>
                <w:lang w:val="it-IT"/>
              </w:rPr>
              <w:t xml:space="preserve"> Policu osiguranja sposobnosti vraćanja kredita (CPI) </w:t>
            </w:r>
          </w:p>
          <w:p w:rsidR="00B22CA5" w:rsidRPr="00B4345C" w:rsidRDefault="00B22CA5" w:rsidP="00F846FC">
            <w:pPr>
              <w:rPr>
                <w:rFonts w:ascii="Arial" w:hAnsi="Arial" w:cs="Arial"/>
                <w:sz w:val="18"/>
                <w:szCs w:val="18"/>
                <w:lang w:val="it-IT"/>
              </w:rPr>
            </w:pPr>
          </w:p>
          <w:p w:rsidR="00823329" w:rsidRPr="00B4345C" w:rsidRDefault="005C17C4" w:rsidP="00915478">
            <w:pPr>
              <w:rPr>
                <w:rFonts w:ascii="Arial" w:hAnsi="Arial" w:cs="Arial"/>
                <w:sz w:val="18"/>
                <w:szCs w:val="18"/>
                <w:lang w:val="it-IT"/>
              </w:rPr>
            </w:pPr>
            <w:r w:rsidRPr="00B4345C">
              <w:rPr>
                <w:rFonts w:ascii="Arial" w:hAnsi="Arial" w:cs="Arial"/>
                <w:sz w:val="18"/>
                <w:szCs w:val="18"/>
                <w:lang w:val="it-IT"/>
              </w:rPr>
              <w:t>CPI (polica osiguranja sposobnosti vraćanja kredita) pokriće: smrt uslijed nesretnog slućaja ili bolesti, privremena nesposobnost za rad (bolovanje)</w:t>
            </w:r>
            <w:r w:rsidR="00F50BF1" w:rsidRPr="00B4345C">
              <w:rPr>
                <w:rFonts w:ascii="Arial" w:hAnsi="Arial" w:cs="Arial"/>
                <w:sz w:val="18"/>
                <w:szCs w:val="18"/>
                <w:lang w:val="it-IT"/>
              </w:rPr>
              <w:t>, prestanak radnog o</w:t>
            </w:r>
            <w:r w:rsidR="00533261" w:rsidRPr="00B4345C">
              <w:rPr>
                <w:rFonts w:ascii="Arial" w:hAnsi="Arial" w:cs="Arial"/>
                <w:sz w:val="18"/>
                <w:szCs w:val="18"/>
                <w:lang w:val="it-IT"/>
              </w:rPr>
              <w:t>dnosa</w:t>
            </w:r>
            <w:r w:rsidR="00F50BF1" w:rsidRPr="00B4345C">
              <w:rPr>
                <w:rFonts w:ascii="Arial" w:hAnsi="Arial" w:cs="Arial"/>
                <w:sz w:val="18"/>
                <w:szCs w:val="18"/>
                <w:lang w:val="it-IT"/>
              </w:rPr>
              <w:t xml:space="preserve"> (otkaz)</w:t>
            </w:r>
            <w:r w:rsidRPr="00B4345C">
              <w:rPr>
                <w:rFonts w:ascii="Arial" w:hAnsi="Arial" w:cs="Arial"/>
                <w:sz w:val="18"/>
                <w:szCs w:val="18"/>
                <w:lang w:val="it-IT"/>
              </w:rPr>
              <w:t>. Premijska stopa iznosi 4,60%</w:t>
            </w:r>
            <w:r w:rsidR="00645EDE" w:rsidRPr="00B4345C">
              <w:rPr>
                <w:rFonts w:ascii="Arial" w:hAnsi="Arial" w:cs="Arial"/>
                <w:sz w:val="18"/>
                <w:szCs w:val="18"/>
                <w:lang w:val="it-IT"/>
              </w:rPr>
              <w:t xml:space="preserve"> ili 6,70%</w:t>
            </w:r>
            <w:r w:rsidRPr="00B4345C">
              <w:rPr>
                <w:rFonts w:ascii="Arial" w:hAnsi="Arial" w:cs="Arial"/>
                <w:sz w:val="18"/>
                <w:szCs w:val="18"/>
                <w:lang w:val="it-IT"/>
              </w:rPr>
              <w:t xml:space="preserve"> od iznosa </w:t>
            </w:r>
            <w:r w:rsidR="008829AE" w:rsidRPr="00B4345C">
              <w:rPr>
                <w:rFonts w:ascii="Arial" w:hAnsi="Arial" w:cs="Arial"/>
                <w:sz w:val="18"/>
                <w:szCs w:val="18"/>
                <w:lang w:val="it-IT"/>
              </w:rPr>
              <w:t xml:space="preserve">glavnice </w:t>
            </w:r>
            <w:r w:rsidRPr="00B4345C">
              <w:rPr>
                <w:rFonts w:ascii="Arial" w:hAnsi="Arial" w:cs="Arial"/>
                <w:sz w:val="18"/>
                <w:szCs w:val="18"/>
                <w:lang w:val="it-IT"/>
              </w:rPr>
              <w:t>kredita</w:t>
            </w:r>
            <w:r w:rsidR="00645EDE" w:rsidRPr="00B4345C">
              <w:rPr>
                <w:rFonts w:ascii="Arial" w:hAnsi="Arial" w:cs="Arial"/>
                <w:sz w:val="18"/>
                <w:szCs w:val="18"/>
                <w:lang w:val="it-IT"/>
              </w:rPr>
              <w:t xml:space="preserve">, ovisno o </w:t>
            </w:r>
            <w:r w:rsidR="004066AE" w:rsidRPr="00B4345C">
              <w:rPr>
                <w:rFonts w:ascii="Arial" w:hAnsi="Arial" w:cs="Arial"/>
                <w:sz w:val="18"/>
                <w:szCs w:val="18"/>
                <w:lang w:val="it-IT"/>
              </w:rPr>
              <w:t xml:space="preserve">obujmu pokrića osiguranja </w:t>
            </w:r>
          </w:p>
        </w:tc>
      </w:tr>
      <w:tr w:rsidR="008C18A1" w:rsidRPr="00A92783" w:rsidTr="00A92783">
        <w:tc>
          <w:tcPr>
            <w:tcW w:w="725" w:type="pct"/>
          </w:tcPr>
          <w:p w:rsidR="008C18A1" w:rsidRPr="00AD2C5B" w:rsidRDefault="008C18A1" w:rsidP="00F846FC">
            <w:pPr>
              <w:rPr>
                <w:rFonts w:ascii="Arial" w:hAnsi="Arial" w:cs="Arial"/>
                <w:b/>
                <w:sz w:val="18"/>
                <w:szCs w:val="18"/>
              </w:rPr>
            </w:pPr>
            <w:r>
              <w:rPr>
                <w:rFonts w:ascii="Arial" w:hAnsi="Arial" w:cs="Arial"/>
                <w:b/>
                <w:sz w:val="18"/>
                <w:szCs w:val="18"/>
              </w:rPr>
              <w:lastRenderedPageBreak/>
              <w:t>Postupak odobravanja kredita</w:t>
            </w:r>
          </w:p>
        </w:tc>
        <w:tc>
          <w:tcPr>
            <w:tcW w:w="4275" w:type="pct"/>
          </w:tcPr>
          <w:p w:rsidR="008C18A1" w:rsidRPr="00B4345C" w:rsidRDefault="008C18A1" w:rsidP="00F846FC">
            <w:pPr>
              <w:rPr>
                <w:rFonts w:ascii="Arial" w:hAnsi="Arial" w:cs="Arial"/>
                <w:sz w:val="18"/>
                <w:szCs w:val="18"/>
                <w:lang w:val="it-IT"/>
              </w:rPr>
            </w:pPr>
            <w:r w:rsidRPr="00B4345C">
              <w:rPr>
                <w:rFonts w:ascii="Arial" w:hAnsi="Arial" w:cs="Arial"/>
                <w:sz w:val="18"/>
                <w:szCs w:val="18"/>
                <w:lang w:val="it-IT"/>
              </w:rPr>
              <w:t>Klijent se može informirati kod djelatnika u Banke u poslovnici o mogućnostima financiranja. Djelatnik Banke u poslovnici može zatražiti od potrošača dodatnu dokumentaciju, ovisno o namjeni kredita ili ukoliko se za time ukaže potreba.</w:t>
            </w:r>
          </w:p>
          <w:p w:rsidR="008C18A1" w:rsidRPr="00B4345C" w:rsidRDefault="008C18A1" w:rsidP="00F846FC">
            <w:pPr>
              <w:pStyle w:val="ListParagraph"/>
              <w:numPr>
                <w:ilvl w:val="0"/>
                <w:numId w:val="2"/>
              </w:numPr>
              <w:ind w:left="176" w:hanging="142"/>
              <w:rPr>
                <w:rFonts w:ascii="Arial" w:hAnsi="Arial" w:cs="Arial"/>
                <w:sz w:val="18"/>
                <w:szCs w:val="18"/>
                <w:lang w:val="it-IT"/>
              </w:rPr>
            </w:pPr>
            <w:r w:rsidRPr="00B4345C">
              <w:rPr>
                <w:rFonts w:ascii="Arial" w:hAnsi="Arial" w:cs="Arial"/>
                <w:sz w:val="18"/>
                <w:szCs w:val="18"/>
                <w:lang w:val="it-IT"/>
              </w:rPr>
              <w:t>Tražitelj kredita i ostali sudionici po kreditu popunjavaju zahtjev za kredit*, koji zajedno s potrebnom dokumentacijom predaje u poslovnicu banke.</w:t>
            </w:r>
          </w:p>
          <w:p w:rsidR="0089640F" w:rsidRPr="00B4345C" w:rsidRDefault="0089640F" w:rsidP="00F846FC">
            <w:pPr>
              <w:pStyle w:val="ListParagraph"/>
              <w:ind w:left="176"/>
              <w:rPr>
                <w:rFonts w:ascii="Arial" w:hAnsi="Arial" w:cs="Arial"/>
                <w:sz w:val="18"/>
                <w:szCs w:val="18"/>
                <w:lang w:val="it-IT"/>
              </w:rPr>
            </w:pPr>
          </w:p>
          <w:p w:rsidR="008C18A1" w:rsidRPr="00B4345C" w:rsidRDefault="008C18A1" w:rsidP="00F846FC">
            <w:pPr>
              <w:rPr>
                <w:rFonts w:ascii="Arial" w:hAnsi="Arial" w:cs="Arial"/>
                <w:sz w:val="18"/>
                <w:szCs w:val="18"/>
                <w:lang w:val="it-IT"/>
              </w:rPr>
            </w:pPr>
            <w:r w:rsidRPr="00B4345C">
              <w:rPr>
                <w:rFonts w:ascii="Arial" w:hAnsi="Arial" w:cs="Arial"/>
                <w:sz w:val="18"/>
                <w:szCs w:val="18"/>
                <w:lang w:val="it-IT"/>
              </w:rPr>
              <w:t>*Ukoliko tražitelj kredita odbije pružiti potrebne informacije ili dokumentaciju a koja je potrebna za procjenu njegove kreditne sposobnosti Banka će takav Zahtjev za kredit odbiti.</w:t>
            </w:r>
          </w:p>
          <w:p w:rsidR="0089640F" w:rsidRPr="00B4345C" w:rsidRDefault="0089640F" w:rsidP="00F846FC">
            <w:pPr>
              <w:rPr>
                <w:rFonts w:ascii="Arial" w:hAnsi="Arial" w:cs="Arial"/>
                <w:sz w:val="18"/>
                <w:szCs w:val="18"/>
                <w:lang w:val="it-IT"/>
              </w:rPr>
            </w:pPr>
          </w:p>
          <w:p w:rsidR="008C18A1" w:rsidRPr="00B4345C" w:rsidRDefault="008C18A1" w:rsidP="00F846FC">
            <w:pPr>
              <w:pStyle w:val="ListParagraph"/>
              <w:numPr>
                <w:ilvl w:val="0"/>
                <w:numId w:val="2"/>
              </w:numPr>
              <w:ind w:left="176" w:hanging="142"/>
              <w:rPr>
                <w:rFonts w:ascii="Arial" w:hAnsi="Arial" w:cs="Arial"/>
                <w:sz w:val="18"/>
                <w:szCs w:val="18"/>
                <w:lang w:val="it-IT"/>
              </w:rPr>
            </w:pPr>
            <w:r w:rsidRPr="00B4345C">
              <w:rPr>
                <w:rFonts w:ascii="Arial" w:hAnsi="Arial" w:cs="Arial"/>
                <w:sz w:val="18"/>
                <w:szCs w:val="18"/>
                <w:lang w:val="it-IT"/>
              </w:rPr>
              <w:t>Na temelju dostavljene dokumentacije Banka procjenjuje zahtjev za kredit te donosi odluku o odobravanju/odbijanju kreditnog zahtjeva.</w:t>
            </w:r>
          </w:p>
          <w:p w:rsidR="008C18A1" w:rsidRPr="00B4345C" w:rsidRDefault="008C18A1" w:rsidP="00F846FC">
            <w:pPr>
              <w:pStyle w:val="ListParagraph"/>
              <w:numPr>
                <w:ilvl w:val="0"/>
                <w:numId w:val="2"/>
              </w:numPr>
              <w:ind w:left="176" w:hanging="142"/>
              <w:rPr>
                <w:rFonts w:ascii="Arial" w:hAnsi="Arial" w:cs="Arial"/>
                <w:sz w:val="18"/>
                <w:szCs w:val="18"/>
                <w:lang w:val="it-IT"/>
              </w:rPr>
            </w:pPr>
            <w:r w:rsidRPr="00B4345C">
              <w:rPr>
                <w:rFonts w:ascii="Arial" w:hAnsi="Arial" w:cs="Arial"/>
                <w:sz w:val="18"/>
                <w:szCs w:val="18"/>
                <w:lang w:val="it-IT"/>
              </w:rPr>
              <w:t>Ukoliko je Banka donjela odluku o odobravanju kredita. Nakon pripreme dokumentacije obavještava potrošača da se uputi u poslovnicu te tamo potpisuje ugovor o kreditu i ostalu dokumentaciju, te potrebnu dokumentaciju solemnizira</w:t>
            </w:r>
            <w:r w:rsidR="0089640F" w:rsidRPr="00B4345C">
              <w:rPr>
                <w:rFonts w:ascii="Arial" w:hAnsi="Arial" w:cs="Arial"/>
                <w:sz w:val="18"/>
                <w:szCs w:val="18"/>
                <w:lang w:val="it-IT"/>
              </w:rPr>
              <w:t>/ovjerava</w:t>
            </w:r>
            <w:r w:rsidRPr="00B4345C">
              <w:rPr>
                <w:rFonts w:ascii="Arial" w:hAnsi="Arial" w:cs="Arial"/>
                <w:sz w:val="18"/>
                <w:szCs w:val="18"/>
                <w:lang w:val="it-IT"/>
              </w:rPr>
              <w:t xml:space="preserve"> kod javnog bilježnika.</w:t>
            </w:r>
          </w:p>
          <w:p w:rsidR="00823329" w:rsidRPr="00DB069D" w:rsidRDefault="008C18A1" w:rsidP="00DB069D">
            <w:pPr>
              <w:pStyle w:val="ListParagraph"/>
              <w:numPr>
                <w:ilvl w:val="0"/>
                <w:numId w:val="2"/>
              </w:numPr>
              <w:ind w:left="176" w:hanging="142"/>
              <w:rPr>
                <w:rFonts w:ascii="Arial" w:hAnsi="Arial" w:cs="Arial"/>
                <w:sz w:val="18"/>
                <w:szCs w:val="18"/>
                <w:lang w:val="it-IT"/>
              </w:rPr>
            </w:pPr>
            <w:r w:rsidRPr="00B4345C">
              <w:rPr>
                <w:rFonts w:ascii="Arial" w:hAnsi="Arial" w:cs="Arial"/>
                <w:sz w:val="18"/>
                <w:szCs w:val="18"/>
                <w:lang w:val="it-IT"/>
              </w:rPr>
              <w:t xml:space="preserve">Nakon </w:t>
            </w:r>
            <w:r w:rsidR="0089640F" w:rsidRPr="00B4345C">
              <w:rPr>
                <w:rFonts w:ascii="Arial" w:hAnsi="Arial" w:cs="Arial"/>
                <w:sz w:val="18"/>
                <w:szCs w:val="18"/>
                <w:lang w:val="it-IT"/>
              </w:rPr>
              <w:t xml:space="preserve">dostave cijelokupne dokumentacije </w:t>
            </w:r>
            <w:r w:rsidRPr="00B4345C">
              <w:rPr>
                <w:rFonts w:ascii="Arial" w:hAnsi="Arial" w:cs="Arial"/>
                <w:sz w:val="18"/>
                <w:szCs w:val="18"/>
                <w:lang w:val="it-IT"/>
              </w:rPr>
              <w:t>Banka isplaćuje kredit.</w:t>
            </w:r>
          </w:p>
        </w:tc>
      </w:tr>
      <w:tr w:rsidR="00E3528F" w:rsidRPr="00A92783" w:rsidTr="00A92783">
        <w:tc>
          <w:tcPr>
            <w:tcW w:w="725" w:type="pct"/>
          </w:tcPr>
          <w:p w:rsidR="002B5AA5" w:rsidRPr="00AD2C5B" w:rsidRDefault="0063730A" w:rsidP="00F846FC">
            <w:pPr>
              <w:rPr>
                <w:rFonts w:ascii="Arial" w:hAnsi="Arial" w:cs="Arial"/>
                <w:b/>
                <w:sz w:val="18"/>
                <w:szCs w:val="18"/>
              </w:rPr>
            </w:pPr>
            <w:r w:rsidRPr="00AD2C5B">
              <w:rPr>
                <w:rFonts w:ascii="Arial" w:hAnsi="Arial" w:cs="Arial"/>
                <w:b/>
                <w:sz w:val="18"/>
                <w:szCs w:val="18"/>
              </w:rPr>
              <w:t>Financijska edukacija potrošača</w:t>
            </w:r>
          </w:p>
          <w:p w:rsidR="002B5AA5" w:rsidRPr="00AD2C5B" w:rsidRDefault="002B5AA5" w:rsidP="00F846FC">
            <w:pPr>
              <w:rPr>
                <w:rFonts w:ascii="Arial" w:hAnsi="Arial" w:cs="Arial"/>
                <w:b/>
                <w:sz w:val="18"/>
                <w:szCs w:val="18"/>
              </w:rPr>
            </w:pPr>
          </w:p>
          <w:p w:rsidR="002B5AA5" w:rsidRPr="00AD2C5B" w:rsidRDefault="002B5AA5" w:rsidP="00F846FC">
            <w:pPr>
              <w:rPr>
                <w:rFonts w:ascii="Arial" w:hAnsi="Arial" w:cs="Arial"/>
                <w:b/>
                <w:sz w:val="18"/>
                <w:szCs w:val="18"/>
              </w:rPr>
            </w:pPr>
          </w:p>
        </w:tc>
        <w:tc>
          <w:tcPr>
            <w:tcW w:w="4275" w:type="pct"/>
          </w:tcPr>
          <w:p w:rsidR="008F5C74" w:rsidRDefault="0063730A" w:rsidP="00F846FC">
            <w:pPr>
              <w:rPr>
                <w:rFonts w:ascii="Arial" w:hAnsi="Arial" w:cs="Arial"/>
                <w:sz w:val="18"/>
                <w:szCs w:val="18"/>
              </w:rPr>
            </w:pPr>
            <w:r w:rsidRPr="0063730A">
              <w:rPr>
                <w:rFonts w:ascii="Arial" w:hAnsi="Arial" w:cs="Arial"/>
                <w:sz w:val="18"/>
                <w:szCs w:val="18"/>
              </w:rPr>
              <w:t xml:space="preserve">Potrošačima u Republici Hrvatskoj dustupna su savjetovališta za zaštitu potrošača. </w:t>
            </w:r>
          </w:p>
          <w:p w:rsidR="008F5C74" w:rsidRPr="00B4345C" w:rsidRDefault="0063730A" w:rsidP="00F846FC">
            <w:pPr>
              <w:rPr>
                <w:rFonts w:ascii="Arial" w:hAnsi="Arial" w:cs="Arial"/>
                <w:sz w:val="18"/>
                <w:szCs w:val="18"/>
                <w:lang w:val="it-IT"/>
              </w:rPr>
            </w:pPr>
            <w:r w:rsidRPr="00B4345C">
              <w:rPr>
                <w:rFonts w:ascii="Arial" w:hAnsi="Arial" w:cs="Arial"/>
                <w:sz w:val="18"/>
                <w:szCs w:val="18"/>
                <w:lang w:val="it-IT"/>
              </w:rPr>
              <w:t xml:space="preserve">Popis savjetovališta nalazi se na web adresi Ministarstva gospodarstva, poduzetništva i obrta: </w:t>
            </w:r>
            <w:hyperlink r:id="rId10" w:history="1">
              <w:r w:rsidR="00B01B8A" w:rsidRPr="00B4345C">
                <w:rPr>
                  <w:rStyle w:val="Hyperlink"/>
                  <w:rFonts w:ascii="Arial" w:hAnsi="Arial" w:cs="Arial"/>
                  <w:sz w:val="18"/>
                  <w:szCs w:val="18"/>
                  <w:lang w:val="it-IT"/>
                </w:rPr>
                <w:t>http://mingo.hr</w:t>
              </w:r>
            </w:hyperlink>
            <w:r w:rsidRPr="00B4345C">
              <w:rPr>
                <w:rFonts w:ascii="Arial" w:hAnsi="Arial" w:cs="Arial"/>
                <w:sz w:val="18"/>
                <w:szCs w:val="18"/>
                <w:lang w:val="it-IT"/>
              </w:rPr>
              <w:t xml:space="preserve">, </w:t>
            </w:r>
          </w:p>
          <w:p w:rsidR="008F5C74" w:rsidRPr="00B4345C" w:rsidRDefault="0063730A" w:rsidP="00F846FC">
            <w:pPr>
              <w:rPr>
                <w:rFonts w:ascii="Arial" w:hAnsi="Arial" w:cs="Arial"/>
                <w:sz w:val="18"/>
                <w:szCs w:val="18"/>
                <w:lang w:val="it-IT"/>
              </w:rPr>
            </w:pPr>
            <w:r w:rsidRPr="00B4345C">
              <w:rPr>
                <w:rFonts w:ascii="Arial" w:hAnsi="Arial" w:cs="Arial"/>
                <w:sz w:val="18"/>
                <w:szCs w:val="18"/>
                <w:lang w:val="it-IT"/>
              </w:rPr>
              <w:t xml:space="preserve">Adresa ministarstva gospodarstva, poduzetništva i obrta: </w:t>
            </w:r>
          </w:p>
          <w:p w:rsidR="00823329" w:rsidRPr="00B4345C" w:rsidRDefault="0063730A" w:rsidP="00F846FC">
            <w:pPr>
              <w:rPr>
                <w:rFonts w:ascii="Arial" w:hAnsi="Arial" w:cs="Arial"/>
                <w:sz w:val="18"/>
                <w:szCs w:val="18"/>
                <w:lang w:val="it-IT"/>
              </w:rPr>
            </w:pPr>
            <w:r w:rsidRPr="00B4345C">
              <w:rPr>
                <w:rFonts w:ascii="Arial" w:hAnsi="Arial" w:cs="Arial"/>
                <w:sz w:val="18"/>
                <w:szCs w:val="18"/>
                <w:lang w:val="it-IT"/>
              </w:rPr>
              <w:t>Ulica grada Vukovara 78, 10 000 Zagreb, broj telefona: 01 6106 111</w:t>
            </w:r>
          </w:p>
        </w:tc>
      </w:tr>
      <w:tr w:rsidR="00E3528F" w:rsidRPr="00A92783" w:rsidTr="00A92783">
        <w:tc>
          <w:tcPr>
            <w:tcW w:w="725" w:type="pct"/>
          </w:tcPr>
          <w:p w:rsidR="00E3528F" w:rsidRPr="00B4345C" w:rsidRDefault="0063730A" w:rsidP="00F846FC">
            <w:pPr>
              <w:rPr>
                <w:rFonts w:ascii="Arial" w:hAnsi="Arial" w:cs="Arial"/>
                <w:b/>
                <w:sz w:val="18"/>
                <w:szCs w:val="18"/>
                <w:lang w:val="it-IT"/>
              </w:rPr>
            </w:pPr>
            <w:r w:rsidRPr="00B4345C">
              <w:rPr>
                <w:rFonts w:ascii="Arial" w:hAnsi="Arial" w:cs="Arial"/>
                <w:b/>
                <w:sz w:val="18"/>
                <w:szCs w:val="18"/>
                <w:lang w:val="it-IT"/>
              </w:rPr>
              <w:t>Pravo na odustanak od ugovora o kreditu</w:t>
            </w:r>
          </w:p>
          <w:p w:rsidR="002B5AA5" w:rsidRPr="00B4345C" w:rsidRDefault="002B5AA5" w:rsidP="00F846FC">
            <w:pPr>
              <w:rPr>
                <w:rFonts w:ascii="Arial" w:hAnsi="Arial" w:cs="Arial"/>
                <w:b/>
                <w:sz w:val="18"/>
                <w:szCs w:val="18"/>
                <w:lang w:val="it-IT"/>
              </w:rPr>
            </w:pPr>
          </w:p>
          <w:p w:rsidR="002B5AA5" w:rsidRPr="00B4345C" w:rsidRDefault="002B5AA5" w:rsidP="00F846FC">
            <w:pPr>
              <w:rPr>
                <w:rFonts w:ascii="Arial" w:hAnsi="Arial" w:cs="Arial"/>
                <w:b/>
                <w:sz w:val="18"/>
                <w:szCs w:val="18"/>
                <w:lang w:val="it-IT"/>
              </w:rPr>
            </w:pPr>
          </w:p>
          <w:p w:rsidR="002B5AA5" w:rsidRPr="00B4345C" w:rsidRDefault="002B5AA5" w:rsidP="00F846FC">
            <w:pPr>
              <w:rPr>
                <w:rFonts w:ascii="Arial" w:hAnsi="Arial" w:cs="Arial"/>
                <w:b/>
                <w:sz w:val="18"/>
                <w:szCs w:val="18"/>
                <w:lang w:val="it-IT"/>
              </w:rPr>
            </w:pPr>
          </w:p>
        </w:tc>
        <w:tc>
          <w:tcPr>
            <w:tcW w:w="4275" w:type="pct"/>
          </w:tcPr>
          <w:p w:rsidR="0063730A" w:rsidRPr="00B4345C" w:rsidRDefault="0063730A" w:rsidP="00F846FC">
            <w:pPr>
              <w:rPr>
                <w:rFonts w:ascii="Arial" w:hAnsi="Arial" w:cs="Arial"/>
                <w:sz w:val="18"/>
                <w:szCs w:val="18"/>
                <w:lang w:val="it-IT"/>
              </w:rPr>
            </w:pPr>
            <w:r w:rsidRPr="00B4345C">
              <w:rPr>
                <w:rFonts w:ascii="Arial" w:hAnsi="Arial" w:cs="Arial"/>
                <w:sz w:val="18"/>
                <w:szCs w:val="18"/>
                <w:lang w:val="it-IT"/>
              </w:rPr>
              <w:t>Korisnik kredita ima pravo na odustanak od ovog Ugovora u roku od 14 dana od dana sklapanja Ugovora, a sukladno uvjetima iz Općih uvjeta za poslovanje s građanima Kreditora</w:t>
            </w:r>
          </w:p>
          <w:p w:rsidR="0063730A" w:rsidRPr="00B4345C" w:rsidRDefault="0063730A" w:rsidP="00F846FC">
            <w:pPr>
              <w:rPr>
                <w:rFonts w:ascii="Arial" w:hAnsi="Arial" w:cs="Arial"/>
                <w:sz w:val="18"/>
                <w:szCs w:val="18"/>
                <w:lang w:val="it-IT"/>
              </w:rPr>
            </w:pPr>
            <w:r w:rsidRPr="00B4345C">
              <w:rPr>
                <w:rFonts w:ascii="Arial" w:hAnsi="Arial" w:cs="Arial"/>
                <w:sz w:val="18"/>
                <w:szCs w:val="18"/>
                <w:lang w:val="it-IT"/>
              </w:rPr>
              <w:t>Ako odustane od Ugovora, Korisnik kredita dužan je platiti Kreditoru glavnicu i ugovorene kamate na glavnicu od dana povlačenja novca do dana otplate glavnice bez odgode, najkasnije 30 dana od dana kada je Kreditoru poslao obavijest o odustanku</w:t>
            </w:r>
          </w:p>
          <w:p w:rsidR="00823329" w:rsidRPr="00B4345C" w:rsidRDefault="0063730A" w:rsidP="00F846FC">
            <w:pPr>
              <w:rPr>
                <w:rFonts w:ascii="Arial" w:hAnsi="Arial" w:cs="Arial"/>
                <w:sz w:val="18"/>
                <w:szCs w:val="18"/>
                <w:lang w:val="it-IT"/>
              </w:rPr>
            </w:pPr>
            <w:r w:rsidRPr="00B4345C">
              <w:rPr>
                <w:rFonts w:ascii="Arial" w:hAnsi="Arial" w:cs="Arial"/>
                <w:sz w:val="18"/>
                <w:szCs w:val="18"/>
                <w:lang w:val="it-IT"/>
              </w:rPr>
              <w:t>Kamata se obračunava na temelju ugovorene kamatne stope</w:t>
            </w:r>
            <w:r w:rsidR="00DB069D">
              <w:rPr>
                <w:rFonts w:ascii="Arial" w:hAnsi="Arial" w:cs="Arial"/>
                <w:sz w:val="18"/>
                <w:szCs w:val="18"/>
                <w:lang w:val="it-IT"/>
              </w:rPr>
              <w:t>.</w:t>
            </w:r>
          </w:p>
        </w:tc>
      </w:tr>
      <w:tr w:rsidR="00E3528F" w:rsidRPr="00A92783" w:rsidTr="00A92783">
        <w:trPr>
          <w:trHeight w:val="281"/>
        </w:trPr>
        <w:tc>
          <w:tcPr>
            <w:tcW w:w="725" w:type="pct"/>
          </w:tcPr>
          <w:p w:rsidR="002B5AA5" w:rsidRPr="00AD2C5B" w:rsidRDefault="0063730A" w:rsidP="00F846FC">
            <w:pPr>
              <w:rPr>
                <w:rFonts w:ascii="Arial" w:hAnsi="Arial" w:cs="Arial"/>
                <w:b/>
                <w:sz w:val="18"/>
                <w:szCs w:val="18"/>
              </w:rPr>
            </w:pPr>
            <w:r w:rsidRPr="00AD2C5B">
              <w:rPr>
                <w:rFonts w:ascii="Arial" w:hAnsi="Arial" w:cs="Arial"/>
                <w:b/>
                <w:sz w:val="18"/>
                <w:szCs w:val="18"/>
              </w:rPr>
              <w:t>Gdje se dodatno informirati?</w:t>
            </w:r>
          </w:p>
        </w:tc>
        <w:tc>
          <w:tcPr>
            <w:tcW w:w="4275" w:type="pct"/>
          </w:tcPr>
          <w:p w:rsidR="00823329" w:rsidRPr="00B4345C" w:rsidRDefault="0063730A" w:rsidP="00FF72CD">
            <w:pPr>
              <w:rPr>
                <w:rFonts w:ascii="Arial" w:hAnsi="Arial" w:cs="Arial"/>
                <w:sz w:val="18"/>
                <w:szCs w:val="18"/>
                <w:lang w:val="it-IT"/>
              </w:rPr>
            </w:pPr>
            <w:r w:rsidRPr="00B4345C">
              <w:rPr>
                <w:rFonts w:ascii="Arial" w:hAnsi="Arial" w:cs="Arial"/>
                <w:sz w:val="18"/>
                <w:szCs w:val="18"/>
                <w:lang w:val="it-IT"/>
              </w:rPr>
              <w:t xml:space="preserve">Djelatnici u poslovnici, </w:t>
            </w:r>
            <w:r w:rsidR="0019088B" w:rsidRPr="00B4345C">
              <w:rPr>
                <w:rFonts w:ascii="Arial" w:hAnsi="Arial" w:cs="Arial"/>
                <w:sz w:val="18"/>
                <w:szCs w:val="18"/>
                <w:lang w:val="it-IT"/>
              </w:rPr>
              <w:t>P</w:t>
            </w:r>
            <w:r w:rsidRPr="00B4345C">
              <w:rPr>
                <w:rFonts w:ascii="Arial" w:hAnsi="Arial" w:cs="Arial"/>
                <w:sz w:val="18"/>
                <w:szCs w:val="18"/>
                <w:lang w:val="it-IT"/>
              </w:rPr>
              <w:t>rimjer ovog dokumenta na zahtjev u poslovnici, na www.sberbank.hr, besplatni  telefon 0800- 0600</w:t>
            </w:r>
          </w:p>
        </w:tc>
      </w:tr>
      <w:tr w:rsidR="00887F34" w:rsidRPr="00345D91" w:rsidTr="00A92783">
        <w:tc>
          <w:tcPr>
            <w:tcW w:w="725" w:type="pct"/>
          </w:tcPr>
          <w:p w:rsidR="00887F34" w:rsidRPr="00AD2C5B" w:rsidRDefault="00095358" w:rsidP="00F846FC">
            <w:pPr>
              <w:rPr>
                <w:rFonts w:ascii="Arial" w:hAnsi="Arial" w:cs="Arial"/>
                <w:b/>
                <w:sz w:val="18"/>
                <w:szCs w:val="18"/>
              </w:rPr>
            </w:pPr>
            <w:r>
              <w:rPr>
                <w:rFonts w:ascii="Arial" w:hAnsi="Arial" w:cs="Arial"/>
                <w:b/>
                <w:sz w:val="18"/>
                <w:szCs w:val="18"/>
              </w:rPr>
              <w:t>Opći uvjeti poslovanja</w:t>
            </w:r>
          </w:p>
        </w:tc>
        <w:tc>
          <w:tcPr>
            <w:tcW w:w="4275" w:type="pct"/>
          </w:tcPr>
          <w:p w:rsidR="006F74C8" w:rsidRPr="0063730A" w:rsidRDefault="00887F34" w:rsidP="006F74C8">
            <w:pPr>
              <w:rPr>
                <w:rFonts w:ascii="Arial" w:hAnsi="Arial" w:cs="Arial"/>
                <w:sz w:val="18"/>
                <w:szCs w:val="18"/>
              </w:rPr>
            </w:pPr>
            <w:r w:rsidRPr="00887F34">
              <w:rPr>
                <w:rFonts w:ascii="Arial" w:hAnsi="Arial" w:cs="Arial"/>
                <w:sz w:val="18"/>
                <w:szCs w:val="18"/>
              </w:rPr>
              <w:t xml:space="preserve">Na ugovorni odnos primjenjuju se Opći uvjeti poslovanja </w:t>
            </w:r>
            <w:r>
              <w:rPr>
                <w:rFonts w:ascii="Arial" w:hAnsi="Arial" w:cs="Arial"/>
                <w:sz w:val="18"/>
                <w:szCs w:val="18"/>
              </w:rPr>
              <w:t>Sberbank d.d.</w:t>
            </w:r>
            <w:r w:rsidRPr="00887F34">
              <w:rPr>
                <w:rFonts w:ascii="Arial" w:hAnsi="Arial" w:cs="Arial"/>
                <w:sz w:val="18"/>
                <w:szCs w:val="18"/>
              </w:rPr>
              <w:t xml:space="preserve"> </w:t>
            </w:r>
            <w:r w:rsidR="00095358">
              <w:rPr>
                <w:rFonts w:ascii="Arial" w:hAnsi="Arial" w:cs="Arial"/>
                <w:sz w:val="18"/>
                <w:szCs w:val="18"/>
              </w:rPr>
              <w:t xml:space="preserve">i </w:t>
            </w:r>
            <w:r w:rsidR="00095358" w:rsidRPr="00095358">
              <w:rPr>
                <w:rFonts w:ascii="Arial" w:hAnsi="Arial" w:cs="Arial"/>
                <w:sz w:val="18"/>
                <w:szCs w:val="18"/>
              </w:rPr>
              <w:t>Politika kamatnih stopa u kreditno-depozitnim poslovima s potrošačima</w:t>
            </w:r>
          </w:p>
        </w:tc>
      </w:tr>
      <w:tr w:rsidR="00E3528F" w:rsidRPr="00A92783" w:rsidTr="00A92783">
        <w:trPr>
          <w:trHeight w:val="1433"/>
        </w:trPr>
        <w:tc>
          <w:tcPr>
            <w:tcW w:w="725" w:type="pct"/>
          </w:tcPr>
          <w:p w:rsidR="0063730A" w:rsidRPr="00AD2C5B" w:rsidRDefault="0063730A" w:rsidP="00F846FC">
            <w:pPr>
              <w:rPr>
                <w:rFonts w:ascii="Arial" w:hAnsi="Arial" w:cs="Arial"/>
                <w:b/>
                <w:sz w:val="18"/>
                <w:szCs w:val="18"/>
              </w:rPr>
            </w:pPr>
            <w:r w:rsidRPr="00AD2C5B">
              <w:rPr>
                <w:rFonts w:ascii="Arial" w:hAnsi="Arial" w:cs="Arial"/>
                <w:b/>
                <w:sz w:val="18"/>
                <w:szCs w:val="18"/>
              </w:rPr>
              <w:t>Način podnošenja prigovora</w:t>
            </w:r>
          </w:p>
          <w:p w:rsidR="0063730A" w:rsidRPr="00AD2C5B" w:rsidRDefault="0063730A" w:rsidP="00F846FC">
            <w:pPr>
              <w:rPr>
                <w:rFonts w:ascii="Arial" w:hAnsi="Arial" w:cs="Arial"/>
                <w:b/>
                <w:sz w:val="18"/>
                <w:szCs w:val="18"/>
              </w:rPr>
            </w:pPr>
          </w:p>
          <w:p w:rsidR="0063730A" w:rsidRPr="00AD2C5B" w:rsidRDefault="0063730A" w:rsidP="00F846FC">
            <w:pPr>
              <w:rPr>
                <w:rFonts w:ascii="Arial" w:hAnsi="Arial" w:cs="Arial"/>
                <w:b/>
                <w:sz w:val="18"/>
                <w:szCs w:val="18"/>
              </w:rPr>
            </w:pPr>
          </w:p>
          <w:p w:rsidR="0063730A" w:rsidRPr="00AD2C5B" w:rsidRDefault="0063730A" w:rsidP="00F846FC">
            <w:pPr>
              <w:rPr>
                <w:rFonts w:ascii="Arial" w:hAnsi="Arial" w:cs="Arial"/>
                <w:b/>
                <w:sz w:val="18"/>
                <w:szCs w:val="18"/>
              </w:rPr>
            </w:pPr>
          </w:p>
          <w:p w:rsidR="0063730A" w:rsidRPr="00AD2C5B" w:rsidRDefault="0063730A" w:rsidP="00F846FC">
            <w:pPr>
              <w:rPr>
                <w:rFonts w:ascii="Arial" w:hAnsi="Arial" w:cs="Arial"/>
                <w:b/>
                <w:sz w:val="18"/>
                <w:szCs w:val="18"/>
              </w:rPr>
            </w:pPr>
          </w:p>
          <w:p w:rsidR="00E3528F" w:rsidRPr="00AD2C5B" w:rsidRDefault="00E3528F" w:rsidP="00F846FC">
            <w:pPr>
              <w:rPr>
                <w:rFonts w:ascii="Arial" w:hAnsi="Arial" w:cs="Arial"/>
                <w:b/>
                <w:sz w:val="18"/>
                <w:szCs w:val="18"/>
              </w:rPr>
            </w:pPr>
          </w:p>
        </w:tc>
        <w:tc>
          <w:tcPr>
            <w:tcW w:w="4275" w:type="pct"/>
          </w:tcPr>
          <w:p w:rsidR="0063730A" w:rsidRPr="0063730A" w:rsidRDefault="0063730A" w:rsidP="00F846FC">
            <w:pPr>
              <w:rPr>
                <w:rFonts w:ascii="Arial" w:hAnsi="Arial" w:cs="Arial"/>
                <w:sz w:val="18"/>
                <w:szCs w:val="18"/>
              </w:rPr>
            </w:pPr>
            <w:r w:rsidRPr="0063730A">
              <w:rPr>
                <w:rFonts w:ascii="Arial" w:hAnsi="Arial" w:cs="Arial"/>
                <w:sz w:val="18"/>
                <w:szCs w:val="18"/>
              </w:rPr>
              <w:t>Korisnik kredita može podnijeti prigovor na sljedeće načine:</w:t>
            </w:r>
          </w:p>
          <w:p w:rsidR="0063730A" w:rsidRPr="005616FF" w:rsidRDefault="0063730A" w:rsidP="00F846FC">
            <w:pPr>
              <w:rPr>
                <w:rFonts w:ascii="Arial" w:hAnsi="Arial" w:cs="Arial"/>
                <w:sz w:val="18"/>
                <w:szCs w:val="18"/>
                <w:lang w:val="de-DE"/>
              </w:rPr>
            </w:pPr>
            <w:r w:rsidRPr="005616FF">
              <w:rPr>
                <w:rFonts w:ascii="Arial" w:hAnsi="Arial" w:cs="Arial"/>
                <w:sz w:val="18"/>
                <w:szCs w:val="18"/>
                <w:lang w:val="de-DE"/>
              </w:rPr>
              <w:t xml:space="preserve">• </w:t>
            </w:r>
            <w:r w:rsidR="00FD6B23">
              <w:rPr>
                <w:rFonts w:ascii="Arial" w:hAnsi="Arial" w:cs="Arial"/>
                <w:sz w:val="18"/>
                <w:szCs w:val="18"/>
                <w:lang w:val="de-DE"/>
              </w:rPr>
              <w:t>putem e-maila na adresu info@sberbank.hr</w:t>
            </w:r>
          </w:p>
          <w:p w:rsidR="0063730A" w:rsidRPr="005616FF" w:rsidRDefault="0063730A" w:rsidP="00F846FC">
            <w:pPr>
              <w:rPr>
                <w:rFonts w:ascii="Arial" w:hAnsi="Arial" w:cs="Arial"/>
                <w:sz w:val="18"/>
                <w:szCs w:val="18"/>
                <w:lang w:val="de-DE"/>
              </w:rPr>
            </w:pPr>
            <w:r w:rsidRPr="005616FF">
              <w:rPr>
                <w:rFonts w:ascii="Arial" w:hAnsi="Arial" w:cs="Arial"/>
                <w:sz w:val="18"/>
                <w:szCs w:val="18"/>
                <w:lang w:val="de-DE"/>
              </w:rPr>
              <w:t xml:space="preserve">• </w:t>
            </w:r>
            <w:r w:rsidR="00FD6B23">
              <w:rPr>
                <w:rFonts w:ascii="Arial" w:hAnsi="Arial" w:cs="Arial"/>
                <w:sz w:val="18"/>
                <w:szCs w:val="18"/>
                <w:lang w:val="de-DE"/>
              </w:rPr>
              <w:t>putem letka izloženog u poslovnici Banke „Prijedlozi i primjedbe“</w:t>
            </w:r>
          </w:p>
          <w:p w:rsidR="0063730A" w:rsidRPr="005616FF" w:rsidRDefault="0063730A" w:rsidP="00F846FC">
            <w:pPr>
              <w:rPr>
                <w:rFonts w:ascii="Arial" w:hAnsi="Arial" w:cs="Arial"/>
                <w:sz w:val="18"/>
                <w:szCs w:val="18"/>
                <w:lang w:val="de-DE"/>
              </w:rPr>
            </w:pPr>
            <w:r w:rsidRPr="005616FF">
              <w:rPr>
                <w:rFonts w:ascii="Arial" w:hAnsi="Arial" w:cs="Arial"/>
                <w:sz w:val="18"/>
                <w:szCs w:val="18"/>
                <w:lang w:val="de-DE"/>
              </w:rPr>
              <w:t xml:space="preserve">• </w:t>
            </w:r>
            <w:r w:rsidR="00FD6B23">
              <w:rPr>
                <w:rFonts w:ascii="Arial" w:hAnsi="Arial" w:cs="Arial"/>
                <w:sz w:val="18"/>
                <w:szCs w:val="18"/>
                <w:lang w:val="de-DE"/>
              </w:rPr>
              <w:t>putem besplatnog telefona Kontakt centra 0800 0600</w:t>
            </w:r>
          </w:p>
          <w:p w:rsidR="0063730A" w:rsidRPr="005616FF" w:rsidRDefault="0063730A" w:rsidP="00F846FC">
            <w:pPr>
              <w:rPr>
                <w:rFonts w:ascii="Arial" w:hAnsi="Arial" w:cs="Arial"/>
                <w:sz w:val="18"/>
                <w:szCs w:val="18"/>
                <w:lang w:val="de-DE"/>
              </w:rPr>
            </w:pPr>
            <w:r w:rsidRPr="005616FF">
              <w:rPr>
                <w:rFonts w:ascii="Arial" w:hAnsi="Arial" w:cs="Arial"/>
                <w:sz w:val="18"/>
                <w:szCs w:val="18"/>
                <w:lang w:val="de-DE"/>
              </w:rPr>
              <w:t xml:space="preserve">• </w:t>
            </w:r>
            <w:r w:rsidR="00FD6B23">
              <w:rPr>
                <w:rFonts w:ascii="Arial" w:hAnsi="Arial" w:cs="Arial"/>
                <w:sz w:val="18"/>
                <w:szCs w:val="18"/>
                <w:lang w:val="de-DE"/>
              </w:rPr>
              <w:t>pisanim putem na adresu: Sberbank d.d., Varšavska 9, 10000 Zagreb</w:t>
            </w:r>
          </w:p>
          <w:p w:rsidR="00823329" w:rsidRPr="005616FF" w:rsidRDefault="0063730A" w:rsidP="00FD6B23">
            <w:pPr>
              <w:rPr>
                <w:rFonts w:ascii="Arial" w:hAnsi="Arial" w:cs="Arial"/>
                <w:sz w:val="18"/>
                <w:szCs w:val="18"/>
                <w:lang w:val="de-DE"/>
              </w:rPr>
            </w:pPr>
            <w:r w:rsidRPr="005616FF">
              <w:rPr>
                <w:rFonts w:ascii="Arial" w:hAnsi="Arial" w:cs="Arial"/>
                <w:sz w:val="18"/>
                <w:szCs w:val="18"/>
                <w:lang w:val="de-DE"/>
              </w:rPr>
              <w:t xml:space="preserve">• </w:t>
            </w:r>
            <w:r w:rsidR="00FD6B23">
              <w:rPr>
                <w:rFonts w:ascii="Arial" w:hAnsi="Arial" w:cs="Arial"/>
                <w:sz w:val="18"/>
                <w:szCs w:val="18"/>
                <w:lang w:val="de-DE"/>
              </w:rPr>
              <w:t>putem obrasca za reklamaciju transakcija koji se popunjava u poslovnici Banke kod reklamacija vezanih zu transakcije</w:t>
            </w:r>
          </w:p>
        </w:tc>
      </w:tr>
      <w:tr w:rsidR="00E23F7A" w:rsidRPr="00A92783" w:rsidTr="00667018">
        <w:tc>
          <w:tcPr>
            <w:tcW w:w="5000" w:type="pct"/>
            <w:gridSpan w:val="2"/>
          </w:tcPr>
          <w:p w:rsidR="008F5C74" w:rsidRPr="005616FF" w:rsidRDefault="00E23F7A" w:rsidP="00F846FC">
            <w:pPr>
              <w:rPr>
                <w:rFonts w:ascii="Arial" w:hAnsi="Arial" w:cs="Arial"/>
                <w:sz w:val="18"/>
                <w:szCs w:val="18"/>
                <w:lang w:val="de-DE"/>
              </w:rPr>
            </w:pPr>
            <w:r w:rsidRPr="005616FF">
              <w:rPr>
                <w:rFonts w:ascii="Arial" w:hAnsi="Arial" w:cs="Arial"/>
                <w:sz w:val="18"/>
                <w:szCs w:val="18"/>
                <w:lang w:val="de-DE"/>
              </w:rPr>
              <w:t>U slučaju da niste zadovoljni odgovorom odnosno rješenjem Banke na podneseni prigovor, te smatrate da ponovljeni kontakt s Bankom neće doprinijeti rješenju nastale situacije, na raspolaganju su Vam daljnje zakonom predviđene mogućnosti odnosno možete se obratiti:</w:t>
            </w:r>
          </w:p>
          <w:p w:rsidR="00E23F7A" w:rsidRDefault="00B4345C" w:rsidP="00DB069D">
            <w:pPr>
              <w:rPr>
                <w:rFonts w:ascii="Arial" w:hAnsi="Arial" w:cs="Arial"/>
                <w:sz w:val="18"/>
                <w:szCs w:val="18"/>
                <w:lang w:val="de-DE"/>
              </w:rPr>
            </w:pPr>
            <w:r w:rsidRPr="005616FF">
              <w:rPr>
                <w:rFonts w:ascii="Arial" w:hAnsi="Arial" w:cs="Arial"/>
                <w:sz w:val="18"/>
                <w:szCs w:val="18"/>
                <w:lang w:val="de-DE"/>
              </w:rPr>
              <w:t>Centru za mirenje pri Hrvatskoj gospodarskoj komori, Zagreb, Rooseveltov trg 2</w:t>
            </w:r>
            <w:r w:rsidR="00DB069D">
              <w:rPr>
                <w:rFonts w:ascii="Arial" w:hAnsi="Arial" w:cs="Arial"/>
                <w:sz w:val="18"/>
                <w:szCs w:val="18"/>
                <w:lang w:val="de-DE"/>
              </w:rPr>
              <w:t xml:space="preserve"> </w:t>
            </w:r>
            <w:r>
              <w:rPr>
                <w:rFonts w:ascii="Arial" w:hAnsi="Arial" w:cs="Arial"/>
                <w:sz w:val="18"/>
                <w:szCs w:val="18"/>
                <w:lang w:val="de-DE"/>
              </w:rPr>
              <w:t>ili</w:t>
            </w:r>
            <w:r w:rsidR="00DB069D">
              <w:rPr>
                <w:rFonts w:ascii="Arial" w:hAnsi="Arial" w:cs="Arial"/>
                <w:sz w:val="18"/>
                <w:szCs w:val="18"/>
                <w:lang w:val="de-DE"/>
              </w:rPr>
              <w:t xml:space="preserve"> </w:t>
            </w:r>
            <w:r>
              <w:rPr>
                <w:rFonts w:ascii="Arial" w:hAnsi="Arial" w:cs="Arial"/>
                <w:sz w:val="18"/>
                <w:szCs w:val="18"/>
                <w:lang w:val="de-DE"/>
              </w:rPr>
              <w:t>drugom tijelu za alternativno rješavanje potrošačkih sporova, notificiranom od strane nadležnog ministarstva.</w:t>
            </w:r>
          </w:p>
          <w:p w:rsidR="000B49E6" w:rsidRPr="005616FF" w:rsidRDefault="000B49E6" w:rsidP="00DB069D">
            <w:pPr>
              <w:rPr>
                <w:rFonts w:ascii="Arial" w:hAnsi="Arial" w:cs="Arial"/>
                <w:sz w:val="18"/>
                <w:szCs w:val="18"/>
                <w:lang w:val="de-DE"/>
              </w:rPr>
            </w:pPr>
          </w:p>
        </w:tc>
      </w:tr>
      <w:tr w:rsidR="00E3528F" w:rsidRPr="00A92783" w:rsidTr="00A92783">
        <w:tc>
          <w:tcPr>
            <w:tcW w:w="725" w:type="pct"/>
          </w:tcPr>
          <w:p w:rsidR="00E3528F" w:rsidRPr="00B4345C" w:rsidRDefault="0063730A" w:rsidP="00F846FC">
            <w:pPr>
              <w:rPr>
                <w:rFonts w:ascii="Arial" w:hAnsi="Arial" w:cs="Arial"/>
                <w:b/>
                <w:sz w:val="18"/>
                <w:szCs w:val="18"/>
                <w:lang w:val="de-DE"/>
              </w:rPr>
            </w:pPr>
            <w:r w:rsidRPr="00B4345C">
              <w:rPr>
                <w:rFonts w:ascii="Arial" w:hAnsi="Arial" w:cs="Arial"/>
                <w:b/>
                <w:sz w:val="18"/>
                <w:szCs w:val="18"/>
                <w:lang w:val="de-DE"/>
              </w:rPr>
              <w:t>Mjerodavno tijelo za nadzor kreditne institucije</w:t>
            </w:r>
          </w:p>
        </w:tc>
        <w:tc>
          <w:tcPr>
            <w:tcW w:w="4275" w:type="pct"/>
          </w:tcPr>
          <w:p w:rsidR="00F53665" w:rsidRPr="00B4345C" w:rsidRDefault="00F53665" w:rsidP="00F846FC">
            <w:pPr>
              <w:rPr>
                <w:rFonts w:ascii="Arial" w:hAnsi="Arial" w:cs="Arial"/>
                <w:sz w:val="18"/>
                <w:szCs w:val="18"/>
                <w:lang w:val="de-DE"/>
              </w:rPr>
            </w:pPr>
          </w:p>
          <w:p w:rsidR="00C31230" w:rsidRPr="00B4345C" w:rsidRDefault="0063730A" w:rsidP="00F846FC">
            <w:pPr>
              <w:rPr>
                <w:rFonts w:ascii="Arial" w:hAnsi="Arial" w:cs="Arial"/>
                <w:sz w:val="18"/>
                <w:szCs w:val="18"/>
                <w:lang w:val="de-DE"/>
              </w:rPr>
            </w:pPr>
            <w:r w:rsidRPr="00B4345C">
              <w:rPr>
                <w:rFonts w:ascii="Arial" w:hAnsi="Arial" w:cs="Arial"/>
                <w:sz w:val="18"/>
                <w:szCs w:val="18"/>
                <w:lang w:val="de-DE"/>
              </w:rPr>
              <w:t>Hrvatska Narodna Banka, Trg hrvatskih velika</w:t>
            </w:r>
            <w:r w:rsidR="00A12402" w:rsidRPr="00B4345C">
              <w:rPr>
                <w:rFonts w:ascii="Arial" w:hAnsi="Arial" w:cs="Arial"/>
                <w:sz w:val="18"/>
                <w:szCs w:val="18"/>
                <w:lang w:val="de-DE"/>
              </w:rPr>
              <w:t>na</w:t>
            </w:r>
            <w:r w:rsidRPr="00B4345C">
              <w:rPr>
                <w:rFonts w:ascii="Arial" w:hAnsi="Arial" w:cs="Arial"/>
                <w:sz w:val="18"/>
                <w:szCs w:val="18"/>
                <w:lang w:val="de-DE"/>
              </w:rPr>
              <w:t xml:space="preserve"> 2, 10 000 Zagreb, www.hnb.hr</w:t>
            </w:r>
          </w:p>
        </w:tc>
      </w:tr>
    </w:tbl>
    <w:p w:rsidR="00335484" w:rsidRDefault="00335484" w:rsidP="00FD2B56">
      <w:pPr>
        <w:framePr w:hSpace="181" w:wrap="around" w:vAnchor="text" w:hAnchor="text" w:xAlign="center" w:y="1"/>
        <w:spacing w:after="0" w:line="240" w:lineRule="auto"/>
        <w:suppressOverlap/>
        <w:jc w:val="center"/>
        <w:rPr>
          <w:rFonts w:ascii="Arial" w:hAnsi="Arial" w:cs="Arial"/>
          <w:b/>
          <w:color w:val="00703C"/>
          <w:sz w:val="24"/>
          <w:szCs w:val="18"/>
          <w:lang w:val="de-DE"/>
        </w:rPr>
      </w:pPr>
    </w:p>
    <w:p w:rsidR="00F93034" w:rsidRPr="00B4345C" w:rsidRDefault="00F93034" w:rsidP="00DB069D">
      <w:pPr>
        <w:spacing w:after="0" w:line="240" w:lineRule="auto"/>
        <w:rPr>
          <w:rFonts w:ascii="Arial" w:hAnsi="Arial" w:cs="Arial"/>
          <w:b/>
          <w:color w:val="00703C"/>
          <w:sz w:val="24"/>
          <w:szCs w:val="18"/>
          <w:lang w:val="de-DE"/>
        </w:rPr>
      </w:pPr>
    </w:p>
    <w:p w:rsidR="00F93034" w:rsidRPr="00B4345C" w:rsidRDefault="00F93034" w:rsidP="009A2BC8">
      <w:pPr>
        <w:spacing w:after="0" w:line="240" w:lineRule="auto"/>
        <w:jc w:val="center"/>
        <w:rPr>
          <w:rFonts w:ascii="Arial" w:hAnsi="Arial" w:cs="Arial"/>
          <w:b/>
          <w:color w:val="00703C"/>
          <w:sz w:val="24"/>
          <w:szCs w:val="18"/>
          <w:lang w:val="de-DE"/>
        </w:rPr>
      </w:pPr>
    </w:p>
    <w:p w:rsidR="00DB069D" w:rsidRDefault="00DB069D" w:rsidP="009A2BC8">
      <w:pPr>
        <w:spacing w:after="0" w:line="240" w:lineRule="auto"/>
        <w:jc w:val="center"/>
        <w:rPr>
          <w:rFonts w:ascii="Arial" w:hAnsi="Arial" w:cs="Arial"/>
          <w:b/>
          <w:color w:val="00703C"/>
          <w:sz w:val="24"/>
          <w:szCs w:val="18"/>
          <w:lang w:val="de-DE"/>
        </w:rPr>
      </w:pPr>
    </w:p>
    <w:p w:rsidR="009A2BC8" w:rsidRPr="00B4345C" w:rsidRDefault="009A2BC8" w:rsidP="009A2BC8">
      <w:pPr>
        <w:spacing w:after="0" w:line="240" w:lineRule="auto"/>
        <w:jc w:val="center"/>
        <w:rPr>
          <w:rFonts w:ascii="Arial" w:hAnsi="Arial" w:cs="Arial"/>
          <w:b/>
          <w:color w:val="00703C"/>
          <w:sz w:val="24"/>
          <w:szCs w:val="18"/>
          <w:lang w:val="de-DE"/>
        </w:rPr>
      </w:pPr>
      <w:r w:rsidRPr="00B4345C">
        <w:rPr>
          <w:rFonts w:ascii="Arial" w:hAnsi="Arial" w:cs="Arial"/>
          <w:b/>
          <w:color w:val="00703C"/>
          <w:sz w:val="24"/>
          <w:szCs w:val="18"/>
          <w:lang w:val="de-DE"/>
        </w:rPr>
        <w:t>REPREZENTATIVNI PRIMJER UKUPNOG IZNOSA KREDITA I UKUPNIH TROŠKOVA</w:t>
      </w:r>
    </w:p>
    <w:p w:rsidR="009A2BC8" w:rsidRPr="00524997" w:rsidRDefault="009A2BC8" w:rsidP="009A2BC8">
      <w:pPr>
        <w:spacing w:after="0" w:line="240" w:lineRule="auto"/>
        <w:jc w:val="center"/>
        <w:rPr>
          <w:rFonts w:ascii="Arial" w:hAnsi="Arial" w:cs="Arial"/>
          <w:b/>
          <w:color w:val="00703C"/>
          <w:sz w:val="24"/>
          <w:szCs w:val="18"/>
          <w:lang w:val="de-DE"/>
        </w:rPr>
      </w:pPr>
      <w:r w:rsidRPr="00B4345C">
        <w:rPr>
          <w:rFonts w:ascii="Arial" w:hAnsi="Arial" w:cs="Arial"/>
          <w:b/>
          <w:color w:val="00703C"/>
          <w:sz w:val="24"/>
          <w:szCs w:val="18"/>
          <w:lang w:val="de-DE"/>
        </w:rPr>
        <w:t xml:space="preserve"> </w:t>
      </w:r>
      <w:r w:rsidRPr="00524997">
        <w:rPr>
          <w:rFonts w:ascii="Arial" w:hAnsi="Arial" w:cs="Arial"/>
          <w:b/>
          <w:color w:val="00703C"/>
          <w:sz w:val="24"/>
          <w:szCs w:val="18"/>
          <w:lang w:val="de-DE"/>
        </w:rPr>
        <w:t xml:space="preserve">ZA NENAMJENSKI KREDIT </w:t>
      </w:r>
      <w:r w:rsidR="00417950" w:rsidRPr="00524997">
        <w:rPr>
          <w:rFonts w:ascii="Arial" w:hAnsi="Arial" w:cs="Arial"/>
          <w:b/>
          <w:color w:val="00703C"/>
          <w:sz w:val="24"/>
          <w:szCs w:val="18"/>
          <w:lang w:val="de-DE"/>
        </w:rPr>
        <w:t xml:space="preserve"> U</w:t>
      </w:r>
      <w:r w:rsidR="007474DD" w:rsidRPr="00524997">
        <w:rPr>
          <w:rFonts w:ascii="Arial" w:hAnsi="Arial" w:cs="Arial"/>
          <w:b/>
          <w:color w:val="00703C"/>
          <w:sz w:val="24"/>
          <w:szCs w:val="18"/>
          <w:lang w:val="de-DE"/>
        </w:rPr>
        <w:t xml:space="preserve"> KUNAMA</w:t>
      </w:r>
      <w:r w:rsidR="00417950" w:rsidRPr="00524997">
        <w:rPr>
          <w:rFonts w:ascii="Arial" w:hAnsi="Arial" w:cs="Arial"/>
          <w:b/>
          <w:color w:val="00703C"/>
          <w:sz w:val="24"/>
          <w:szCs w:val="18"/>
          <w:lang w:val="de-DE"/>
        </w:rPr>
        <w:t xml:space="preserve"> ILI UZ VALUTNU KLAUZULU U EUR</w:t>
      </w:r>
    </w:p>
    <w:p w:rsidR="009A2BC8" w:rsidRPr="00524997" w:rsidRDefault="009A2BC8" w:rsidP="009A2BC8">
      <w:pPr>
        <w:spacing w:after="0" w:line="240" w:lineRule="auto"/>
        <w:jc w:val="center"/>
        <w:rPr>
          <w:rFonts w:ascii="Arial" w:hAnsi="Arial" w:cs="Arial"/>
          <w:b/>
          <w:sz w:val="18"/>
          <w:szCs w:val="18"/>
          <w:lang w:val="de-DE"/>
        </w:rPr>
      </w:pPr>
    </w:p>
    <w:p w:rsidR="009A2BC8" w:rsidRPr="00524997" w:rsidRDefault="009A2BC8" w:rsidP="009A2BC8">
      <w:pPr>
        <w:spacing w:after="0" w:line="240" w:lineRule="auto"/>
        <w:jc w:val="center"/>
        <w:rPr>
          <w:rFonts w:ascii="Arial" w:hAnsi="Arial" w:cs="Arial"/>
          <w:b/>
          <w:sz w:val="18"/>
          <w:szCs w:val="18"/>
          <w:lang w:val="de-DE"/>
        </w:rPr>
      </w:pPr>
    </w:p>
    <w:tbl>
      <w:tblPr>
        <w:tblW w:w="10244" w:type="dxa"/>
        <w:tblInd w:w="108" w:type="dxa"/>
        <w:tblLook w:val="04A0" w:firstRow="1" w:lastRow="0" w:firstColumn="1" w:lastColumn="0" w:noHBand="0" w:noVBand="1"/>
      </w:tblPr>
      <w:tblGrid>
        <w:gridCol w:w="3004"/>
        <w:gridCol w:w="3257"/>
        <w:gridCol w:w="3983"/>
      </w:tblGrid>
      <w:tr w:rsidR="004066AE" w:rsidRPr="00A92783" w:rsidTr="004066AE">
        <w:trPr>
          <w:trHeight w:val="304"/>
        </w:trPr>
        <w:tc>
          <w:tcPr>
            <w:tcW w:w="10244" w:type="dxa"/>
            <w:gridSpan w:val="3"/>
            <w:tcBorders>
              <w:top w:val="single" w:sz="8" w:space="0" w:color="auto"/>
              <w:left w:val="single" w:sz="8" w:space="0" w:color="auto"/>
              <w:bottom w:val="single" w:sz="8" w:space="0" w:color="auto"/>
              <w:right w:val="nil"/>
            </w:tcBorders>
            <w:shd w:val="clear" w:color="000000" w:fill="00703C"/>
            <w:noWrap/>
            <w:vAlign w:val="center"/>
            <w:hideMark/>
          </w:tcPr>
          <w:p w:rsidR="004066AE" w:rsidRPr="004066AE" w:rsidRDefault="004066AE" w:rsidP="004066AE">
            <w:pPr>
              <w:spacing w:after="0" w:line="240" w:lineRule="auto"/>
              <w:jc w:val="center"/>
              <w:rPr>
                <w:rFonts w:ascii="Arial" w:eastAsia="Times New Roman" w:hAnsi="Arial" w:cs="Arial"/>
                <w:b/>
                <w:bCs/>
                <w:color w:val="FFFFFF"/>
                <w:sz w:val="18"/>
                <w:szCs w:val="18"/>
                <w:lang w:val="hr-HR" w:eastAsia="hr-HR"/>
              </w:rPr>
            </w:pPr>
            <w:r w:rsidRPr="004066AE">
              <w:rPr>
                <w:rFonts w:ascii="Arial" w:eastAsia="Times New Roman" w:hAnsi="Arial" w:cs="Arial"/>
                <w:b/>
                <w:bCs/>
                <w:color w:val="FFFFFF"/>
                <w:sz w:val="18"/>
                <w:szCs w:val="18"/>
                <w:lang w:val="hr-HR" w:eastAsia="hr-HR"/>
              </w:rPr>
              <w:t>Promjenjiva</w:t>
            </w:r>
            <w:r w:rsidR="00B3454B">
              <w:rPr>
                <w:rFonts w:ascii="Arial" w:eastAsia="Times New Roman" w:hAnsi="Arial" w:cs="Arial"/>
                <w:b/>
                <w:bCs/>
                <w:color w:val="FFFFFF"/>
                <w:sz w:val="18"/>
                <w:szCs w:val="18"/>
                <w:lang w:val="hr-HR" w:eastAsia="hr-HR"/>
              </w:rPr>
              <w:t xml:space="preserve"> ili fiksna </w:t>
            </w:r>
            <w:r w:rsidRPr="004066AE">
              <w:rPr>
                <w:rFonts w:ascii="Arial" w:eastAsia="Times New Roman" w:hAnsi="Arial" w:cs="Arial"/>
                <w:b/>
                <w:bCs/>
                <w:color w:val="FFFFFF"/>
                <w:sz w:val="18"/>
                <w:szCs w:val="18"/>
                <w:lang w:val="hr-HR" w:eastAsia="hr-HR"/>
              </w:rPr>
              <w:t xml:space="preserve"> kamatna stopa</w:t>
            </w:r>
          </w:p>
        </w:tc>
      </w:tr>
      <w:tr w:rsidR="004066AE" w:rsidRPr="004066AE" w:rsidTr="00A84E4E">
        <w:trPr>
          <w:trHeight w:val="304"/>
        </w:trPr>
        <w:tc>
          <w:tcPr>
            <w:tcW w:w="3004" w:type="dxa"/>
            <w:tcBorders>
              <w:top w:val="nil"/>
              <w:left w:val="single" w:sz="8" w:space="0" w:color="auto"/>
              <w:bottom w:val="nil"/>
              <w:right w:val="single" w:sz="8" w:space="0" w:color="auto"/>
            </w:tcBorders>
            <w:shd w:val="clear" w:color="auto" w:fill="auto"/>
            <w:noWrap/>
            <w:vAlign w:val="center"/>
            <w:hideMark/>
          </w:tcPr>
          <w:p w:rsidR="004066AE" w:rsidRPr="004066AE" w:rsidRDefault="004066AE" w:rsidP="004066AE">
            <w:pPr>
              <w:spacing w:after="0" w:line="240" w:lineRule="auto"/>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t> </w:t>
            </w:r>
          </w:p>
        </w:tc>
        <w:tc>
          <w:tcPr>
            <w:tcW w:w="3257" w:type="dxa"/>
            <w:tcBorders>
              <w:top w:val="nil"/>
              <w:left w:val="nil"/>
              <w:bottom w:val="single" w:sz="8" w:space="0" w:color="auto"/>
              <w:right w:val="nil"/>
            </w:tcBorders>
            <w:shd w:val="clear" w:color="auto" w:fill="auto"/>
            <w:noWrap/>
            <w:vAlign w:val="center"/>
            <w:hideMark/>
          </w:tcPr>
          <w:p w:rsidR="004066AE" w:rsidRPr="004066AE" w:rsidRDefault="004066AE" w:rsidP="004066AE">
            <w:pPr>
              <w:spacing w:after="0" w:line="240" w:lineRule="auto"/>
              <w:jc w:val="center"/>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t>Uz status primarnog klijenta</w:t>
            </w:r>
          </w:p>
        </w:tc>
        <w:tc>
          <w:tcPr>
            <w:tcW w:w="3983" w:type="dxa"/>
            <w:tcBorders>
              <w:top w:val="nil"/>
              <w:left w:val="single" w:sz="8" w:space="0" w:color="auto"/>
              <w:bottom w:val="single" w:sz="8" w:space="0" w:color="auto"/>
              <w:right w:val="single" w:sz="4" w:space="0" w:color="auto"/>
            </w:tcBorders>
            <w:shd w:val="clear" w:color="auto" w:fill="auto"/>
            <w:noWrap/>
            <w:vAlign w:val="center"/>
            <w:hideMark/>
          </w:tcPr>
          <w:p w:rsidR="004066AE" w:rsidRPr="004066AE" w:rsidRDefault="004066AE" w:rsidP="004066AE">
            <w:pPr>
              <w:spacing w:after="0" w:line="240" w:lineRule="auto"/>
              <w:jc w:val="center"/>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t>Bez statusa primarnog klijenta</w:t>
            </w:r>
          </w:p>
        </w:tc>
      </w:tr>
      <w:tr w:rsidR="004066AE" w:rsidRPr="004066AE" w:rsidTr="004066AE">
        <w:trPr>
          <w:trHeight w:val="304"/>
        </w:trPr>
        <w:tc>
          <w:tcPr>
            <w:tcW w:w="3004" w:type="dxa"/>
            <w:tcBorders>
              <w:top w:val="nil"/>
              <w:left w:val="single" w:sz="8" w:space="0" w:color="auto"/>
              <w:bottom w:val="single" w:sz="8" w:space="0" w:color="auto"/>
              <w:right w:val="single" w:sz="8" w:space="0" w:color="auto"/>
            </w:tcBorders>
            <w:shd w:val="clear" w:color="auto" w:fill="auto"/>
            <w:noWrap/>
            <w:vAlign w:val="center"/>
            <w:hideMark/>
          </w:tcPr>
          <w:p w:rsidR="004066AE" w:rsidRPr="004066AE" w:rsidRDefault="004066AE" w:rsidP="004066AE">
            <w:pPr>
              <w:spacing w:after="0" w:line="240" w:lineRule="auto"/>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t>Glavnica kredita</w:t>
            </w:r>
          </w:p>
        </w:tc>
        <w:tc>
          <w:tcPr>
            <w:tcW w:w="72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66AE" w:rsidRPr="004066AE" w:rsidRDefault="004066AE" w:rsidP="004066AE">
            <w:pPr>
              <w:spacing w:after="0" w:line="240" w:lineRule="auto"/>
              <w:jc w:val="center"/>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t>10.000 EUR</w:t>
            </w:r>
            <w:r w:rsidR="00F40C06">
              <w:rPr>
                <w:rFonts w:ascii="Arial" w:eastAsia="Times New Roman" w:hAnsi="Arial" w:cs="Arial"/>
                <w:color w:val="000000"/>
                <w:sz w:val="18"/>
                <w:szCs w:val="18"/>
                <w:lang w:val="hr-HR" w:eastAsia="hr-HR"/>
              </w:rPr>
              <w:t xml:space="preserve">  </w:t>
            </w:r>
            <w:r w:rsidRPr="004066AE">
              <w:rPr>
                <w:rFonts w:ascii="Arial" w:eastAsia="Times New Roman" w:hAnsi="Arial" w:cs="Arial"/>
                <w:color w:val="000000"/>
                <w:sz w:val="18"/>
                <w:szCs w:val="18"/>
                <w:lang w:val="hr-HR" w:eastAsia="hr-HR"/>
              </w:rPr>
              <w:t>/</w:t>
            </w:r>
            <w:r w:rsidR="00F40C06">
              <w:rPr>
                <w:rFonts w:ascii="Arial" w:eastAsia="Times New Roman" w:hAnsi="Arial" w:cs="Arial"/>
                <w:color w:val="000000"/>
                <w:sz w:val="18"/>
                <w:szCs w:val="18"/>
                <w:lang w:val="hr-HR" w:eastAsia="hr-HR"/>
              </w:rPr>
              <w:t xml:space="preserve">  </w:t>
            </w:r>
            <w:r w:rsidRPr="004066AE">
              <w:rPr>
                <w:rFonts w:ascii="Arial" w:eastAsia="Times New Roman" w:hAnsi="Arial" w:cs="Arial"/>
                <w:color w:val="000000"/>
                <w:sz w:val="18"/>
                <w:szCs w:val="18"/>
                <w:lang w:val="hr-HR" w:eastAsia="hr-HR"/>
              </w:rPr>
              <w:t>75.000 HRK</w:t>
            </w:r>
          </w:p>
        </w:tc>
      </w:tr>
      <w:tr w:rsidR="00B3454B" w:rsidRPr="004066AE" w:rsidTr="00A84E4E">
        <w:trPr>
          <w:trHeight w:val="304"/>
        </w:trPr>
        <w:tc>
          <w:tcPr>
            <w:tcW w:w="3004" w:type="dxa"/>
            <w:tcBorders>
              <w:top w:val="nil"/>
              <w:left w:val="single" w:sz="8" w:space="0" w:color="auto"/>
              <w:bottom w:val="single" w:sz="8" w:space="0" w:color="auto"/>
              <w:right w:val="single" w:sz="8" w:space="0" w:color="auto"/>
            </w:tcBorders>
            <w:shd w:val="clear" w:color="auto" w:fill="auto"/>
            <w:noWrap/>
            <w:vAlign w:val="center"/>
            <w:hideMark/>
          </w:tcPr>
          <w:p w:rsidR="00B3454B" w:rsidRPr="004066AE" w:rsidRDefault="00B3454B" w:rsidP="004066AE">
            <w:pPr>
              <w:spacing w:after="0" w:line="240" w:lineRule="auto"/>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t>Kamatna stopa</w:t>
            </w:r>
          </w:p>
        </w:tc>
        <w:tc>
          <w:tcPr>
            <w:tcW w:w="3257" w:type="dxa"/>
            <w:tcBorders>
              <w:top w:val="nil"/>
              <w:left w:val="nil"/>
              <w:bottom w:val="single" w:sz="8" w:space="0" w:color="auto"/>
              <w:right w:val="single" w:sz="8" w:space="0" w:color="auto"/>
            </w:tcBorders>
            <w:shd w:val="clear" w:color="auto" w:fill="auto"/>
            <w:noWrap/>
            <w:vAlign w:val="center"/>
            <w:hideMark/>
          </w:tcPr>
          <w:p w:rsidR="00B3454B" w:rsidRPr="00AD4E65" w:rsidRDefault="00B3454B" w:rsidP="00715FF2">
            <w:pPr>
              <w:spacing w:after="0" w:line="240" w:lineRule="auto"/>
              <w:jc w:val="center"/>
              <w:rPr>
                <w:rFonts w:ascii="Arial" w:eastAsia="Times New Roman" w:hAnsi="Arial" w:cs="Arial"/>
                <w:sz w:val="18"/>
                <w:szCs w:val="18"/>
                <w:lang w:val="hr-HR" w:eastAsia="hr-HR"/>
              </w:rPr>
            </w:pPr>
            <w:r w:rsidRPr="00AD4E65">
              <w:rPr>
                <w:rFonts w:ascii="Arial" w:eastAsia="Times New Roman" w:hAnsi="Arial" w:cs="Arial"/>
                <w:sz w:val="18"/>
                <w:szCs w:val="18"/>
                <w:lang w:val="hr-HR" w:eastAsia="hr-HR"/>
              </w:rPr>
              <w:t>5,70%</w:t>
            </w:r>
          </w:p>
        </w:tc>
        <w:tc>
          <w:tcPr>
            <w:tcW w:w="3983" w:type="dxa"/>
            <w:tcBorders>
              <w:top w:val="nil"/>
              <w:left w:val="nil"/>
              <w:bottom w:val="single" w:sz="8" w:space="0" w:color="auto"/>
              <w:right w:val="single" w:sz="8" w:space="0" w:color="auto"/>
            </w:tcBorders>
            <w:shd w:val="clear" w:color="auto" w:fill="auto"/>
            <w:vAlign w:val="center"/>
          </w:tcPr>
          <w:p w:rsidR="00B3454B" w:rsidRPr="00AD4E65" w:rsidRDefault="00B3454B" w:rsidP="00715FF2">
            <w:pPr>
              <w:spacing w:after="0" w:line="240" w:lineRule="auto"/>
              <w:jc w:val="center"/>
              <w:rPr>
                <w:rFonts w:ascii="Arial" w:eastAsia="Times New Roman" w:hAnsi="Arial" w:cs="Arial"/>
                <w:sz w:val="18"/>
                <w:szCs w:val="18"/>
                <w:lang w:val="hr-HR" w:eastAsia="hr-HR"/>
              </w:rPr>
            </w:pPr>
            <w:r w:rsidRPr="00AD4E65">
              <w:rPr>
                <w:rFonts w:ascii="Arial" w:eastAsia="Times New Roman" w:hAnsi="Arial" w:cs="Arial"/>
                <w:sz w:val="18"/>
                <w:szCs w:val="18"/>
                <w:lang w:val="hr-HR" w:eastAsia="hr-HR"/>
              </w:rPr>
              <w:t>6,30%</w:t>
            </w:r>
          </w:p>
        </w:tc>
      </w:tr>
      <w:tr w:rsidR="004066AE" w:rsidRPr="004066AE" w:rsidTr="004066AE">
        <w:trPr>
          <w:trHeight w:val="304"/>
        </w:trPr>
        <w:tc>
          <w:tcPr>
            <w:tcW w:w="3004" w:type="dxa"/>
            <w:tcBorders>
              <w:top w:val="nil"/>
              <w:left w:val="single" w:sz="8" w:space="0" w:color="auto"/>
              <w:bottom w:val="single" w:sz="8" w:space="0" w:color="auto"/>
              <w:right w:val="single" w:sz="8" w:space="0" w:color="auto"/>
            </w:tcBorders>
            <w:shd w:val="clear" w:color="auto" w:fill="auto"/>
            <w:noWrap/>
            <w:vAlign w:val="center"/>
            <w:hideMark/>
          </w:tcPr>
          <w:p w:rsidR="004066AE" w:rsidRPr="004066AE" w:rsidRDefault="004066AE" w:rsidP="004066AE">
            <w:pPr>
              <w:spacing w:after="0" w:line="240" w:lineRule="auto"/>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t>Rok otplate kredita</w:t>
            </w:r>
          </w:p>
        </w:tc>
        <w:tc>
          <w:tcPr>
            <w:tcW w:w="72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66AE" w:rsidRPr="00AD4E65" w:rsidRDefault="004066AE" w:rsidP="004066AE">
            <w:pPr>
              <w:spacing w:after="0" w:line="240" w:lineRule="auto"/>
              <w:jc w:val="center"/>
              <w:rPr>
                <w:rFonts w:ascii="Arial" w:eastAsia="Times New Roman" w:hAnsi="Arial" w:cs="Arial"/>
                <w:sz w:val="18"/>
                <w:szCs w:val="18"/>
                <w:lang w:val="hr-HR" w:eastAsia="hr-HR"/>
              </w:rPr>
            </w:pPr>
            <w:r w:rsidRPr="00AD4E65">
              <w:rPr>
                <w:rFonts w:ascii="Arial" w:eastAsia="Times New Roman" w:hAnsi="Arial" w:cs="Arial"/>
                <w:sz w:val="18"/>
                <w:szCs w:val="18"/>
                <w:lang w:val="hr-HR" w:eastAsia="hr-HR"/>
              </w:rPr>
              <w:t>10 godina</w:t>
            </w:r>
          </w:p>
        </w:tc>
      </w:tr>
      <w:tr w:rsidR="004066AE" w:rsidRPr="004066AE" w:rsidTr="004066AE">
        <w:trPr>
          <w:trHeight w:val="304"/>
        </w:trPr>
        <w:tc>
          <w:tcPr>
            <w:tcW w:w="3004" w:type="dxa"/>
            <w:tcBorders>
              <w:top w:val="nil"/>
              <w:left w:val="single" w:sz="8" w:space="0" w:color="auto"/>
              <w:bottom w:val="single" w:sz="8" w:space="0" w:color="auto"/>
              <w:right w:val="single" w:sz="8" w:space="0" w:color="auto"/>
            </w:tcBorders>
            <w:shd w:val="clear" w:color="auto" w:fill="auto"/>
            <w:noWrap/>
            <w:vAlign w:val="center"/>
            <w:hideMark/>
          </w:tcPr>
          <w:p w:rsidR="004066AE" w:rsidRPr="004066AE" w:rsidRDefault="004066AE" w:rsidP="004066AE">
            <w:pPr>
              <w:spacing w:after="0" w:line="240" w:lineRule="auto"/>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t>Broj anuiteta</w:t>
            </w:r>
          </w:p>
        </w:tc>
        <w:tc>
          <w:tcPr>
            <w:tcW w:w="72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66AE" w:rsidRPr="00AD4E65" w:rsidRDefault="004066AE" w:rsidP="004066AE">
            <w:pPr>
              <w:spacing w:after="0" w:line="240" w:lineRule="auto"/>
              <w:jc w:val="center"/>
              <w:rPr>
                <w:rFonts w:ascii="Arial" w:eastAsia="Times New Roman" w:hAnsi="Arial" w:cs="Arial"/>
                <w:sz w:val="18"/>
                <w:szCs w:val="18"/>
                <w:lang w:val="hr-HR" w:eastAsia="hr-HR"/>
              </w:rPr>
            </w:pPr>
            <w:r w:rsidRPr="00AD4E65">
              <w:rPr>
                <w:rFonts w:ascii="Arial" w:eastAsia="Times New Roman" w:hAnsi="Arial" w:cs="Arial"/>
                <w:sz w:val="18"/>
                <w:szCs w:val="18"/>
                <w:lang w:val="hr-HR" w:eastAsia="hr-HR"/>
              </w:rPr>
              <w:t>120</w:t>
            </w:r>
          </w:p>
        </w:tc>
      </w:tr>
      <w:tr w:rsidR="00AF12DB" w:rsidRPr="004066AE" w:rsidTr="00A84E4E">
        <w:trPr>
          <w:trHeight w:val="304"/>
        </w:trPr>
        <w:tc>
          <w:tcPr>
            <w:tcW w:w="3004" w:type="dxa"/>
            <w:tcBorders>
              <w:top w:val="nil"/>
              <w:left w:val="single" w:sz="8" w:space="0" w:color="auto"/>
              <w:bottom w:val="single" w:sz="8" w:space="0" w:color="auto"/>
              <w:right w:val="single" w:sz="8" w:space="0" w:color="auto"/>
            </w:tcBorders>
            <w:shd w:val="clear" w:color="auto" w:fill="auto"/>
            <w:noWrap/>
            <w:vAlign w:val="center"/>
            <w:hideMark/>
          </w:tcPr>
          <w:p w:rsidR="00AF12DB" w:rsidRPr="004066AE" w:rsidRDefault="00AF12DB" w:rsidP="004066AE">
            <w:pPr>
              <w:spacing w:after="0" w:line="240" w:lineRule="auto"/>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lastRenderedPageBreak/>
              <w:t>Efektivna kamatna stopa</w:t>
            </w:r>
          </w:p>
        </w:tc>
        <w:tc>
          <w:tcPr>
            <w:tcW w:w="3257" w:type="dxa"/>
            <w:tcBorders>
              <w:top w:val="nil"/>
              <w:left w:val="nil"/>
              <w:bottom w:val="single" w:sz="8" w:space="0" w:color="auto"/>
              <w:right w:val="single" w:sz="8" w:space="0" w:color="auto"/>
            </w:tcBorders>
            <w:shd w:val="clear" w:color="auto" w:fill="auto"/>
            <w:noWrap/>
            <w:vAlign w:val="center"/>
            <w:hideMark/>
          </w:tcPr>
          <w:p w:rsidR="00AF12DB" w:rsidRPr="00A84E4E" w:rsidRDefault="00A84E4E" w:rsidP="00E902DF">
            <w:pPr>
              <w:spacing w:after="0" w:line="240" w:lineRule="auto"/>
              <w:jc w:val="center"/>
              <w:rPr>
                <w:rFonts w:ascii="Arial" w:eastAsia="Times New Roman" w:hAnsi="Arial" w:cs="Arial"/>
                <w:sz w:val="18"/>
                <w:szCs w:val="18"/>
                <w:lang w:val="hr-HR" w:eastAsia="hr-HR"/>
              </w:rPr>
            </w:pPr>
            <w:r>
              <w:rPr>
                <w:rFonts w:ascii="Arial" w:eastAsia="Times New Roman" w:hAnsi="Arial" w:cs="Arial"/>
                <w:sz w:val="18"/>
                <w:szCs w:val="18"/>
                <w:lang w:val="hr-HR" w:eastAsia="hr-HR"/>
              </w:rPr>
              <w:t xml:space="preserve"> 6,</w:t>
            </w:r>
            <w:r w:rsidR="00E902DF">
              <w:rPr>
                <w:rFonts w:ascii="Arial" w:eastAsia="Times New Roman" w:hAnsi="Arial" w:cs="Arial"/>
                <w:sz w:val="18"/>
                <w:szCs w:val="18"/>
                <w:lang w:val="hr-HR" w:eastAsia="hr-HR"/>
              </w:rPr>
              <w:t>25</w:t>
            </w:r>
            <w:r w:rsidR="00AF12DB" w:rsidRPr="00A84E4E">
              <w:rPr>
                <w:rFonts w:ascii="Arial" w:eastAsia="Times New Roman" w:hAnsi="Arial" w:cs="Arial"/>
                <w:sz w:val="18"/>
                <w:szCs w:val="18"/>
                <w:lang w:val="hr-HR" w:eastAsia="hr-HR"/>
              </w:rPr>
              <w:t xml:space="preserve">% </w:t>
            </w:r>
          </w:p>
        </w:tc>
        <w:tc>
          <w:tcPr>
            <w:tcW w:w="3983" w:type="dxa"/>
            <w:tcBorders>
              <w:top w:val="nil"/>
              <w:left w:val="nil"/>
              <w:bottom w:val="single" w:sz="8" w:space="0" w:color="auto"/>
              <w:right w:val="single" w:sz="8" w:space="0" w:color="auto"/>
            </w:tcBorders>
            <w:shd w:val="clear" w:color="auto" w:fill="auto"/>
            <w:vAlign w:val="center"/>
          </w:tcPr>
          <w:p w:rsidR="00AF12DB" w:rsidRPr="00A84E4E" w:rsidRDefault="00A84E4E" w:rsidP="004066AE">
            <w:pPr>
              <w:spacing w:after="0" w:line="240" w:lineRule="auto"/>
              <w:jc w:val="center"/>
              <w:rPr>
                <w:rFonts w:ascii="Arial" w:eastAsia="Times New Roman" w:hAnsi="Arial" w:cs="Arial"/>
                <w:sz w:val="18"/>
                <w:szCs w:val="18"/>
                <w:lang w:val="hr-HR" w:eastAsia="hr-HR"/>
              </w:rPr>
            </w:pPr>
            <w:r>
              <w:rPr>
                <w:rFonts w:ascii="Arial" w:eastAsia="Times New Roman" w:hAnsi="Arial" w:cs="Arial"/>
                <w:sz w:val="18"/>
                <w:szCs w:val="18"/>
                <w:lang w:val="hr-HR" w:eastAsia="hr-HR"/>
              </w:rPr>
              <w:t>6,49</w:t>
            </w:r>
            <w:r w:rsidR="00AF12DB" w:rsidRPr="00A84E4E">
              <w:rPr>
                <w:rFonts w:ascii="Arial" w:eastAsia="Times New Roman" w:hAnsi="Arial" w:cs="Arial"/>
                <w:sz w:val="18"/>
                <w:szCs w:val="18"/>
                <w:lang w:val="hr-HR" w:eastAsia="hr-HR"/>
              </w:rPr>
              <w:t>%</w:t>
            </w:r>
          </w:p>
        </w:tc>
      </w:tr>
      <w:tr w:rsidR="004066AE" w:rsidRPr="004066AE" w:rsidTr="00A84E4E">
        <w:trPr>
          <w:trHeight w:val="290"/>
        </w:trPr>
        <w:tc>
          <w:tcPr>
            <w:tcW w:w="30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066AE" w:rsidRPr="004066AE" w:rsidRDefault="004066AE" w:rsidP="004066AE">
            <w:pPr>
              <w:spacing w:after="0" w:line="240" w:lineRule="auto"/>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t>Iznos mjesečnog anuiteta</w:t>
            </w:r>
          </w:p>
        </w:tc>
        <w:tc>
          <w:tcPr>
            <w:tcW w:w="3257" w:type="dxa"/>
            <w:tcBorders>
              <w:top w:val="nil"/>
              <w:left w:val="nil"/>
              <w:bottom w:val="nil"/>
              <w:right w:val="single" w:sz="8" w:space="0" w:color="auto"/>
            </w:tcBorders>
            <w:shd w:val="clear" w:color="auto" w:fill="auto"/>
            <w:noWrap/>
            <w:vAlign w:val="center"/>
            <w:hideMark/>
          </w:tcPr>
          <w:p w:rsidR="004066AE" w:rsidRPr="00AD4E65" w:rsidRDefault="00A84E4E" w:rsidP="00A84E4E">
            <w:pPr>
              <w:spacing w:after="0" w:line="240" w:lineRule="auto"/>
              <w:jc w:val="center"/>
              <w:rPr>
                <w:rFonts w:ascii="Arial" w:eastAsia="Times New Roman" w:hAnsi="Arial" w:cs="Arial"/>
                <w:sz w:val="18"/>
                <w:szCs w:val="18"/>
                <w:lang w:val="hr-HR" w:eastAsia="hr-HR"/>
              </w:rPr>
            </w:pPr>
            <w:r>
              <w:rPr>
                <w:rFonts w:ascii="Arial" w:eastAsia="Times New Roman" w:hAnsi="Arial" w:cs="Arial"/>
                <w:sz w:val="18"/>
                <w:szCs w:val="18"/>
                <w:lang w:val="hr-HR" w:eastAsia="hr-HR"/>
              </w:rPr>
              <w:t>821,40</w:t>
            </w:r>
            <w:r w:rsidR="008B322F" w:rsidRPr="00AD4E65">
              <w:rPr>
                <w:rFonts w:ascii="Arial" w:eastAsia="Times New Roman" w:hAnsi="Arial" w:cs="Arial"/>
                <w:sz w:val="18"/>
                <w:szCs w:val="18"/>
                <w:lang w:val="hr-HR" w:eastAsia="hr-HR"/>
              </w:rPr>
              <w:t xml:space="preserve"> HRK</w:t>
            </w:r>
            <w:r w:rsidR="004066AE" w:rsidRPr="00AD4E65">
              <w:rPr>
                <w:rFonts w:ascii="Arial" w:eastAsia="Times New Roman" w:hAnsi="Arial" w:cs="Arial"/>
                <w:sz w:val="18"/>
                <w:szCs w:val="18"/>
                <w:lang w:val="hr-HR" w:eastAsia="hr-HR"/>
              </w:rPr>
              <w:t> </w:t>
            </w:r>
            <w:r>
              <w:rPr>
                <w:rFonts w:ascii="Arial" w:eastAsia="Times New Roman" w:hAnsi="Arial" w:cs="Arial"/>
                <w:sz w:val="18"/>
                <w:szCs w:val="18"/>
                <w:lang w:val="hr-HR" w:eastAsia="hr-HR"/>
              </w:rPr>
              <w:t>/ 109,52</w:t>
            </w:r>
            <w:r w:rsidR="00F40C06" w:rsidRPr="00AD4E65">
              <w:rPr>
                <w:rFonts w:ascii="Arial" w:eastAsia="Times New Roman" w:hAnsi="Arial" w:cs="Arial"/>
                <w:sz w:val="18"/>
                <w:szCs w:val="18"/>
                <w:lang w:val="hr-HR" w:eastAsia="hr-HR"/>
              </w:rPr>
              <w:t xml:space="preserve"> EUR</w:t>
            </w:r>
          </w:p>
        </w:tc>
        <w:tc>
          <w:tcPr>
            <w:tcW w:w="3983" w:type="dxa"/>
            <w:tcBorders>
              <w:top w:val="nil"/>
              <w:left w:val="nil"/>
              <w:bottom w:val="nil"/>
              <w:right w:val="single" w:sz="8" w:space="0" w:color="auto"/>
            </w:tcBorders>
            <w:shd w:val="clear" w:color="auto" w:fill="auto"/>
            <w:noWrap/>
            <w:vAlign w:val="center"/>
            <w:hideMark/>
          </w:tcPr>
          <w:p w:rsidR="004066AE" w:rsidRPr="00AD4E65" w:rsidRDefault="00A84E4E" w:rsidP="00A84E4E">
            <w:pPr>
              <w:spacing w:after="0" w:line="240" w:lineRule="auto"/>
              <w:jc w:val="center"/>
              <w:rPr>
                <w:rFonts w:ascii="Arial" w:eastAsia="Times New Roman" w:hAnsi="Arial" w:cs="Arial"/>
                <w:sz w:val="18"/>
                <w:szCs w:val="18"/>
                <w:lang w:val="hr-HR" w:eastAsia="hr-HR"/>
              </w:rPr>
            </w:pPr>
            <w:r>
              <w:rPr>
                <w:rFonts w:ascii="Arial" w:eastAsia="Times New Roman" w:hAnsi="Arial" w:cs="Arial"/>
                <w:sz w:val="18"/>
                <w:szCs w:val="18"/>
                <w:lang w:val="hr-HR" w:eastAsia="hr-HR"/>
              </w:rPr>
              <w:t>844,00</w:t>
            </w:r>
            <w:r w:rsidRPr="00AD4E65">
              <w:rPr>
                <w:rFonts w:ascii="Arial" w:eastAsia="Times New Roman" w:hAnsi="Arial" w:cs="Arial"/>
                <w:sz w:val="18"/>
                <w:szCs w:val="18"/>
                <w:lang w:val="hr-HR" w:eastAsia="hr-HR"/>
              </w:rPr>
              <w:t xml:space="preserve"> HRK / </w:t>
            </w:r>
            <w:r>
              <w:rPr>
                <w:rFonts w:ascii="Arial" w:eastAsia="Times New Roman" w:hAnsi="Arial" w:cs="Arial"/>
                <w:sz w:val="18"/>
                <w:szCs w:val="18"/>
                <w:lang w:val="hr-HR" w:eastAsia="hr-HR"/>
              </w:rPr>
              <w:t>112,53</w:t>
            </w:r>
            <w:r w:rsidRPr="00AD4E65">
              <w:rPr>
                <w:rFonts w:ascii="Arial" w:eastAsia="Times New Roman" w:hAnsi="Arial" w:cs="Arial"/>
                <w:sz w:val="18"/>
                <w:szCs w:val="18"/>
                <w:lang w:val="hr-HR" w:eastAsia="hr-HR"/>
              </w:rPr>
              <w:t xml:space="preserve"> EUR</w:t>
            </w:r>
          </w:p>
        </w:tc>
      </w:tr>
      <w:tr w:rsidR="004066AE" w:rsidRPr="004066AE" w:rsidTr="00A84E4E">
        <w:trPr>
          <w:trHeight w:val="304"/>
        </w:trPr>
        <w:tc>
          <w:tcPr>
            <w:tcW w:w="3004" w:type="dxa"/>
            <w:vMerge/>
            <w:tcBorders>
              <w:top w:val="nil"/>
              <w:left w:val="single" w:sz="8" w:space="0" w:color="auto"/>
              <w:bottom w:val="single" w:sz="8" w:space="0" w:color="000000"/>
              <w:right w:val="single" w:sz="8" w:space="0" w:color="auto"/>
            </w:tcBorders>
            <w:vAlign w:val="center"/>
            <w:hideMark/>
          </w:tcPr>
          <w:p w:rsidR="004066AE" w:rsidRPr="004066AE" w:rsidRDefault="004066AE" w:rsidP="004066AE">
            <w:pPr>
              <w:spacing w:after="0" w:line="240" w:lineRule="auto"/>
              <w:rPr>
                <w:rFonts w:ascii="Arial" w:eastAsia="Times New Roman" w:hAnsi="Arial" w:cs="Arial"/>
                <w:color w:val="000000"/>
                <w:sz w:val="18"/>
                <w:szCs w:val="18"/>
                <w:lang w:val="hr-HR" w:eastAsia="hr-HR"/>
              </w:rPr>
            </w:pPr>
          </w:p>
        </w:tc>
        <w:tc>
          <w:tcPr>
            <w:tcW w:w="3257" w:type="dxa"/>
            <w:tcBorders>
              <w:top w:val="nil"/>
              <w:left w:val="nil"/>
              <w:bottom w:val="single" w:sz="8" w:space="0" w:color="auto"/>
              <w:right w:val="single" w:sz="8" w:space="0" w:color="auto"/>
            </w:tcBorders>
            <w:shd w:val="clear" w:color="auto" w:fill="auto"/>
            <w:noWrap/>
            <w:vAlign w:val="center"/>
            <w:hideMark/>
          </w:tcPr>
          <w:p w:rsidR="004066AE" w:rsidRPr="00AD4E65" w:rsidRDefault="004066AE" w:rsidP="00A84E4E">
            <w:pPr>
              <w:spacing w:after="0" w:line="240" w:lineRule="auto"/>
              <w:jc w:val="center"/>
              <w:rPr>
                <w:rFonts w:ascii="Arial" w:eastAsia="Times New Roman" w:hAnsi="Arial" w:cs="Arial"/>
                <w:sz w:val="18"/>
                <w:szCs w:val="18"/>
                <w:lang w:val="hr-HR" w:eastAsia="hr-HR"/>
              </w:rPr>
            </w:pPr>
          </w:p>
        </w:tc>
        <w:tc>
          <w:tcPr>
            <w:tcW w:w="3983" w:type="dxa"/>
            <w:tcBorders>
              <w:top w:val="nil"/>
              <w:left w:val="nil"/>
              <w:bottom w:val="single" w:sz="8" w:space="0" w:color="auto"/>
              <w:right w:val="single" w:sz="8" w:space="0" w:color="auto"/>
            </w:tcBorders>
            <w:shd w:val="clear" w:color="auto" w:fill="auto"/>
            <w:noWrap/>
            <w:vAlign w:val="center"/>
            <w:hideMark/>
          </w:tcPr>
          <w:p w:rsidR="004066AE" w:rsidRPr="00AD4E65" w:rsidRDefault="004066AE" w:rsidP="00A84E4E">
            <w:pPr>
              <w:spacing w:after="0" w:line="240" w:lineRule="auto"/>
              <w:jc w:val="center"/>
              <w:rPr>
                <w:rFonts w:ascii="Arial" w:eastAsia="Times New Roman" w:hAnsi="Arial" w:cs="Arial"/>
                <w:sz w:val="18"/>
                <w:szCs w:val="18"/>
                <w:lang w:val="hr-HR" w:eastAsia="hr-HR"/>
              </w:rPr>
            </w:pPr>
          </w:p>
        </w:tc>
      </w:tr>
      <w:tr w:rsidR="004066AE" w:rsidRPr="004066AE" w:rsidTr="00A84E4E">
        <w:trPr>
          <w:trHeight w:val="522"/>
        </w:trPr>
        <w:tc>
          <w:tcPr>
            <w:tcW w:w="3004" w:type="dxa"/>
            <w:tcBorders>
              <w:top w:val="nil"/>
              <w:left w:val="single" w:sz="8" w:space="0" w:color="auto"/>
              <w:bottom w:val="single" w:sz="8" w:space="0" w:color="000000"/>
              <w:right w:val="single" w:sz="8" w:space="0" w:color="auto"/>
            </w:tcBorders>
            <w:shd w:val="clear" w:color="auto" w:fill="auto"/>
            <w:vAlign w:val="center"/>
            <w:hideMark/>
          </w:tcPr>
          <w:p w:rsidR="004066AE" w:rsidRPr="004066AE" w:rsidRDefault="004066AE" w:rsidP="004066AE">
            <w:pPr>
              <w:spacing w:after="0" w:line="240" w:lineRule="auto"/>
              <w:jc w:val="center"/>
              <w:rPr>
                <w:rFonts w:ascii="Arial" w:eastAsia="Times New Roman" w:hAnsi="Arial" w:cs="Arial"/>
                <w:color w:val="000000"/>
                <w:sz w:val="18"/>
                <w:szCs w:val="18"/>
                <w:lang w:val="hr-HR" w:eastAsia="hr-HR"/>
              </w:rPr>
            </w:pPr>
            <w:r w:rsidRPr="004066AE">
              <w:rPr>
                <w:rFonts w:ascii="Arial" w:eastAsia="Times New Roman" w:hAnsi="Arial" w:cs="Arial"/>
                <w:color w:val="000000"/>
                <w:sz w:val="18"/>
                <w:szCs w:val="18"/>
                <w:lang w:val="hr-HR" w:eastAsia="hr-HR"/>
              </w:rPr>
              <w:t>Zbrojeni iznos glavnice, kamata i troškova po kreditu</w:t>
            </w:r>
          </w:p>
        </w:tc>
        <w:tc>
          <w:tcPr>
            <w:tcW w:w="3257" w:type="dxa"/>
            <w:tcBorders>
              <w:top w:val="single" w:sz="8" w:space="0" w:color="auto"/>
              <w:left w:val="nil"/>
              <w:bottom w:val="single" w:sz="12" w:space="0" w:color="auto"/>
              <w:right w:val="single" w:sz="8" w:space="0" w:color="auto"/>
            </w:tcBorders>
            <w:shd w:val="clear" w:color="auto" w:fill="auto"/>
            <w:noWrap/>
            <w:vAlign w:val="center"/>
            <w:hideMark/>
          </w:tcPr>
          <w:p w:rsidR="004066AE" w:rsidRPr="00AD4E65" w:rsidRDefault="00774EA4" w:rsidP="00774EA4">
            <w:pPr>
              <w:spacing w:after="0" w:line="240" w:lineRule="auto"/>
              <w:jc w:val="center"/>
              <w:rPr>
                <w:rFonts w:ascii="Arial" w:eastAsia="Times New Roman" w:hAnsi="Arial" w:cs="Arial"/>
                <w:sz w:val="18"/>
                <w:szCs w:val="18"/>
                <w:lang w:val="hr-HR" w:eastAsia="hr-HR"/>
              </w:rPr>
            </w:pPr>
            <w:r>
              <w:rPr>
                <w:rFonts w:ascii="Arial" w:eastAsia="Times New Roman" w:hAnsi="Arial" w:cs="Arial"/>
                <w:sz w:val="18"/>
                <w:szCs w:val="18"/>
                <w:lang w:val="hr-HR" w:eastAsia="hr-HR"/>
              </w:rPr>
              <w:t>100.247,98</w:t>
            </w:r>
            <w:r w:rsidR="00F40C06" w:rsidRPr="00AD4E65">
              <w:rPr>
                <w:rFonts w:ascii="Arial" w:eastAsia="Times New Roman" w:hAnsi="Arial" w:cs="Arial"/>
                <w:sz w:val="18"/>
                <w:szCs w:val="18"/>
                <w:lang w:val="hr-HR" w:eastAsia="hr-HR"/>
              </w:rPr>
              <w:t xml:space="preserve"> HRK</w:t>
            </w:r>
            <w:r w:rsidR="004066AE" w:rsidRPr="00AD4E65">
              <w:rPr>
                <w:rFonts w:ascii="Arial" w:eastAsia="Times New Roman" w:hAnsi="Arial" w:cs="Arial"/>
                <w:sz w:val="18"/>
                <w:szCs w:val="18"/>
                <w:lang w:val="hr-HR" w:eastAsia="hr-HR"/>
              </w:rPr>
              <w:t> </w:t>
            </w:r>
            <w:r w:rsidR="00F40C06" w:rsidRPr="00AD4E65">
              <w:rPr>
                <w:rFonts w:ascii="Arial" w:eastAsia="Times New Roman" w:hAnsi="Arial" w:cs="Arial"/>
                <w:sz w:val="18"/>
                <w:szCs w:val="18"/>
                <w:lang w:val="hr-HR" w:eastAsia="hr-HR"/>
              </w:rPr>
              <w:t>/ 13.</w:t>
            </w:r>
            <w:r w:rsidR="00A84E4E">
              <w:rPr>
                <w:rFonts w:ascii="Arial" w:eastAsia="Times New Roman" w:hAnsi="Arial" w:cs="Arial"/>
                <w:sz w:val="18"/>
                <w:szCs w:val="18"/>
                <w:lang w:val="hr-HR" w:eastAsia="hr-HR"/>
              </w:rPr>
              <w:t>3</w:t>
            </w:r>
            <w:r>
              <w:rPr>
                <w:rFonts w:ascii="Arial" w:eastAsia="Times New Roman" w:hAnsi="Arial" w:cs="Arial"/>
                <w:sz w:val="18"/>
                <w:szCs w:val="18"/>
                <w:lang w:val="hr-HR" w:eastAsia="hr-HR"/>
              </w:rPr>
              <w:t>63,12</w:t>
            </w:r>
            <w:r w:rsidR="00F40C06" w:rsidRPr="00AD4E65">
              <w:rPr>
                <w:rFonts w:ascii="Arial" w:eastAsia="Times New Roman" w:hAnsi="Arial" w:cs="Arial"/>
                <w:sz w:val="18"/>
                <w:szCs w:val="18"/>
                <w:lang w:val="hr-HR" w:eastAsia="hr-HR"/>
              </w:rPr>
              <w:t xml:space="preserve"> EUR</w:t>
            </w:r>
          </w:p>
        </w:tc>
        <w:tc>
          <w:tcPr>
            <w:tcW w:w="3983" w:type="dxa"/>
            <w:tcBorders>
              <w:top w:val="single" w:sz="8" w:space="0" w:color="auto"/>
              <w:left w:val="nil"/>
              <w:bottom w:val="single" w:sz="12" w:space="0" w:color="auto"/>
              <w:right w:val="single" w:sz="8" w:space="0" w:color="auto"/>
            </w:tcBorders>
            <w:shd w:val="clear" w:color="auto" w:fill="auto"/>
            <w:noWrap/>
            <w:vAlign w:val="center"/>
            <w:hideMark/>
          </w:tcPr>
          <w:p w:rsidR="004066AE" w:rsidRPr="00AD4E65" w:rsidRDefault="00A84E4E" w:rsidP="00A84E4E">
            <w:pPr>
              <w:spacing w:after="0" w:line="240" w:lineRule="auto"/>
              <w:jc w:val="center"/>
              <w:rPr>
                <w:rFonts w:ascii="Arial" w:eastAsia="Times New Roman" w:hAnsi="Arial" w:cs="Arial"/>
                <w:sz w:val="18"/>
                <w:szCs w:val="18"/>
                <w:lang w:val="hr-HR" w:eastAsia="hr-HR"/>
              </w:rPr>
            </w:pPr>
            <w:r>
              <w:rPr>
                <w:rFonts w:ascii="Arial" w:eastAsia="Times New Roman" w:hAnsi="Arial" w:cs="Arial"/>
                <w:sz w:val="18"/>
                <w:szCs w:val="18"/>
                <w:lang w:val="hr-HR" w:eastAsia="hr-HR"/>
              </w:rPr>
              <w:t>101.279,61</w:t>
            </w:r>
            <w:r w:rsidR="006F4ED2" w:rsidRPr="00AD4E65">
              <w:rPr>
                <w:rFonts w:ascii="Arial" w:eastAsia="Times New Roman" w:hAnsi="Arial" w:cs="Arial"/>
                <w:sz w:val="18"/>
                <w:szCs w:val="18"/>
                <w:lang w:val="hr-HR" w:eastAsia="hr-HR"/>
              </w:rPr>
              <w:t xml:space="preserve"> HRK</w:t>
            </w:r>
            <w:r w:rsidR="004066AE" w:rsidRPr="00AD4E65">
              <w:rPr>
                <w:rFonts w:ascii="Arial" w:eastAsia="Times New Roman" w:hAnsi="Arial" w:cs="Arial"/>
                <w:sz w:val="18"/>
                <w:szCs w:val="18"/>
                <w:lang w:val="hr-HR" w:eastAsia="hr-HR"/>
              </w:rPr>
              <w:t> </w:t>
            </w:r>
            <w:r w:rsidR="001341D7" w:rsidRPr="00AD4E65">
              <w:rPr>
                <w:rFonts w:ascii="Arial" w:eastAsia="Times New Roman" w:hAnsi="Arial" w:cs="Arial"/>
                <w:sz w:val="18"/>
                <w:szCs w:val="18"/>
                <w:lang w:val="hr-HR" w:eastAsia="hr-HR"/>
              </w:rPr>
              <w:t xml:space="preserve">/ </w:t>
            </w:r>
            <w:r>
              <w:rPr>
                <w:rFonts w:ascii="Arial" w:eastAsia="Times New Roman" w:hAnsi="Arial" w:cs="Arial"/>
                <w:sz w:val="18"/>
                <w:szCs w:val="18"/>
                <w:lang w:val="hr-HR" w:eastAsia="hr-HR"/>
              </w:rPr>
              <w:t>13.504,05 EUR</w:t>
            </w:r>
          </w:p>
        </w:tc>
      </w:tr>
    </w:tbl>
    <w:p w:rsidR="00F97050" w:rsidRPr="00B4345C" w:rsidRDefault="00F97050" w:rsidP="00047E67">
      <w:pPr>
        <w:spacing w:after="0" w:line="240" w:lineRule="auto"/>
        <w:rPr>
          <w:rFonts w:ascii="Arial" w:hAnsi="Arial" w:cs="Arial"/>
          <w:b/>
          <w:sz w:val="18"/>
          <w:szCs w:val="18"/>
          <w:lang w:val="hr-HR"/>
        </w:rPr>
      </w:pPr>
      <w:r w:rsidRPr="006F4ED2">
        <w:rPr>
          <w:rFonts w:ascii="Arial" w:eastAsia="Times New Roman" w:hAnsi="Arial" w:cs="Arial"/>
          <w:sz w:val="16"/>
          <w:szCs w:val="16"/>
          <w:lang w:val="hr-HR" w:eastAsia="hr-HR"/>
        </w:rPr>
        <w:t>Izračunato po redovnoj kamatnoj stopi, na rok otplate 10 godina. Kod kredita uz status klijenta uključen je trošak vođenja računa u iznosu 1</w:t>
      </w:r>
      <w:r w:rsidR="00E902DF">
        <w:rPr>
          <w:rFonts w:ascii="Arial" w:eastAsia="Times New Roman" w:hAnsi="Arial" w:cs="Arial"/>
          <w:sz w:val="16"/>
          <w:szCs w:val="16"/>
          <w:lang w:val="hr-HR" w:eastAsia="hr-HR"/>
        </w:rPr>
        <w:t>4</w:t>
      </w:r>
      <w:r w:rsidRPr="006F4ED2">
        <w:rPr>
          <w:rFonts w:ascii="Arial" w:eastAsia="Times New Roman" w:hAnsi="Arial" w:cs="Arial"/>
          <w:sz w:val="16"/>
          <w:szCs w:val="16"/>
          <w:lang w:val="hr-HR" w:eastAsia="hr-HR"/>
        </w:rPr>
        <w:t>,00 HRK mjesečno.</w:t>
      </w:r>
    </w:p>
    <w:p w:rsidR="00A339E8" w:rsidRPr="00B4345C" w:rsidRDefault="00A339E8" w:rsidP="00DB069D">
      <w:pPr>
        <w:spacing w:after="0" w:line="240" w:lineRule="auto"/>
        <w:rPr>
          <w:rFonts w:ascii="Arial" w:hAnsi="Arial" w:cs="Arial"/>
          <w:b/>
          <w:sz w:val="18"/>
          <w:szCs w:val="18"/>
          <w:lang w:val="hr-HR"/>
        </w:rPr>
      </w:pPr>
    </w:p>
    <w:p w:rsidR="001D24A1" w:rsidRDefault="001D24A1" w:rsidP="001D24A1">
      <w:pPr>
        <w:pStyle w:val="Header"/>
        <w:rPr>
          <w:rFonts w:ascii="Arial" w:hAnsi="Arial" w:cs="Arial"/>
          <w:b/>
          <w:bCs/>
          <w:smallCaps/>
          <w:sz w:val="18"/>
          <w:szCs w:val="18"/>
          <w:lang w:val="hr-HR"/>
        </w:rPr>
      </w:pPr>
      <w:r w:rsidRPr="00262778">
        <w:rPr>
          <w:rFonts w:ascii="Arial" w:hAnsi="Arial" w:cs="Arial"/>
          <w:smallCaps/>
          <w:sz w:val="18"/>
          <w:szCs w:val="18"/>
          <w:lang w:val="pl-PL"/>
        </w:rPr>
        <w:t>sadr</w:t>
      </w:r>
      <w:r w:rsidRPr="00262778">
        <w:rPr>
          <w:rFonts w:ascii="Arial" w:hAnsi="Arial" w:cs="Arial"/>
          <w:smallCaps/>
          <w:sz w:val="18"/>
          <w:szCs w:val="18"/>
          <w:lang w:val="hr-HR"/>
        </w:rPr>
        <w:t>ž</w:t>
      </w:r>
      <w:r w:rsidRPr="00262778">
        <w:rPr>
          <w:rFonts w:ascii="Arial" w:hAnsi="Arial" w:cs="Arial"/>
          <w:smallCaps/>
          <w:sz w:val="18"/>
          <w:szCs w:val="18"/>
          <w:lang w:val="pl-PL"/>
        </w:rPr>
        <w:t>aj</w:t>
      </w:r>
      <w:r w:rsidRPr="00262778">
        <w:rPr>
          <w:rFonts w:ascii="Arial" w:hAnsi="Arial" w:cs="Arial"/>
          <w:smallCaps/>
          <w:sz w:val="18"/>
          <w:szCs w:val="18"/>
          <w:lang w:val="hr-HR"/>
        </w:rPr>
        <w:t xml:space="preserve"> </w:t>
      </w:r>
      <w:r w:rsidRPr="00262778">
        <w:rPr>
          <w:rFonts w:ascii="Arial" w:hAnsi="Arial" w:cs="Arial"/>
          <w:smallCaps/>
          <w:sz w:val="18"/>
          <w:szCs w:val="18"/>
          <w:lang w:val="pl-PL"/>
        </w:rPr>
        <w:t>letka</w:t>
      </w:r>
      <w:r w:rsidRPr="00262778">
        <w:rPr>
          <w:rFonts w:ascii="Arial" w:hAnsi="Arial" w:cs="Arial"/>
          <w:smallCaps/>
          <w:sz w:val="18"/>
          <w:szCs w:val="18"/>
          <w:lang w:val="hr-HR"/>
        </w:rPr>
        <w:t xml:space="preserve"> </w:t>
      </w:r>
      <w:r w:rsidRPr="00262778">
        <w:rPr>
          <w:rFonts w:ascii="Arial" w:hAnsi="Arial" w:cs="Arial"/>
          <w:smallCaps/>
          <w:sz w:val="18"/>
          <w:szCs w:val="18"/>
          <w:lang w:val="pl-PL"/>
        </w:rPr>
        <w:t>je</w:t>
      </w:r>
      <w:r w:rsidRPr="00262778">
        <w:rPr>
          <w:rFonts w:ascii="Arial" w:hAnsi="Arial" w:cs="Arial"/>
          <w:smallCaps/>
          <w:sz w:val="18"/>
          <w:szCs w:val="18"/>
          <w:lang w:val="hr-HR"/>
        </w:rPr>
        <w:t xml:space="preserve"> </w:t>
      </w:r>
      <w:r w:rsidRPr="00262778">
        <w:rPr>
          <w:rFonts w:ascii="Arial" w:hAnsi="Arial" w:cs="Arial"/>
          <w:smallCaps/>
          <w:sz w:val="18"/>
          <w:szCs w:val="18"/>
          <w:lang w:val="pl-PL"/>
        </w:rPr>
        <w:t>informativnog</w:t>
      </w:r>
      <w:r w:rsidRPr="00262778">
        <w:rPr>
          <w:rFonts w:ascii="Arial" w:hAnsi="Arial" w:cs="Arial"/>
          <w:smallCaps/>
          <w:sz w:val="18"/>
          <w:szCs w:val="18"/>
          <w:lang w:val="hr-HR"/>
        </w:rPr>
        <w:t xml:space="preserve"> </w:t>
      </w:r>
      <w:r w:rsidRPr="00262778">
        <w:rPr>
          <w:rFonts w:ascii="Arial" w:hAnsi="Arial" w:cs="Arial"/>
          <w:smallCaps/>
          <w:sz w:val="18"/>
          <w:szCs w:val="18"/>
          <w:lang w:val="pl-PL"/>
        </w:rPr>
        <w:t>karaktera</w:t>
      </w:r>
      <w:r w:rsidRPr="00262778">
        <w:rPr>
          <w:rFonts w:ascii="Arial" w:hAnsi="Arial" w:cs="Arial"/>
          <w:smallCaps/>
          <w:sz w:val="18"/>
          <w:szCs w:val="18"/>
          <w:lang w:val="hr-HR"/>
        </w:rPr>
        <w:t xml:space="preserve"> </w:t>
      </w:r>
      <w:r w:rsidRPr="00262778">
        <w:rPr>
          <w:rFonts w:ascii="Arial" w:hAnsi="Arial" w:cs="Arial"/>
          <w:smallCaps/>
          <w:sz w:val="18"/>
          <w:szCs w:val="18"/>
          <w:lang w:val="pl-PL"/>
        </w:rPr>
        <w:t>te</w:t>
      </w:r>
      <w:r w:rsidRPr="00262778">
        <w:rPr>
          <w:rFonts w:ascii="Arial" w:hAnsi="Arial" w:cs="Arial"/>
          <w:smallCaps/>
          <w:sz w:val="18"/>
          <w:szCs w:val="18"/>
          <w:lang w:val="hr-HR"/>
        </w:rPr>
        <w:t xml:space="preserve"> </w:t>
      </w:r>
      <w:r w:rsidRPr="00262778">
        <w:rPr>
          <w:rFonts w:ascii="Arial" w:hAnsi="Arial" w:cs="Arial"/>
          <w:smallCaps/>
          <w:sz w:val="18"/>
          <w:szCs w:val="18"/>
          <w:lang w:val="pl-PL"/>
        </w:rPr>
        <w:t>uz</w:t>
      </w:r>
      <w:r w:rsidRPr="00262778">
        <w:rPr>
          <w:rFonts w:ascii="Arial" w:hAnsi="Arial" w:cs="Arial"/>
          <w:smallCaps/>
          <w:sz w:val="18"/>
          <w:szCs w:val="18"/>
          <w:lang w:val="hr-HR"/>
        </w:rPr>
        <w:t xml:space="preserve"> </w:t>
      </w:r>
      <w:r w:rsidRPr="00262778">
        <w:rPr>
          <w:rFonts w:ascii="Arial" w:hAnsi="Arial" w:cs="Arial"/>
          <w:smallCaps/>
          <w:sz w:val="18"/>
          <w:szCs w:val="18"/>
          <w:lang w:val="pl-PL"/>
        </w:rPr>
        <w:t>gore</w:t>
      </w:r>
      <w:r w:rsidRPr="00262778">
        <w:rPr>
          <w:rFonts w:ascii="Arial" w:hAnsi="Arial" w:cs="Arial"/>
          <w:smallCaps/>
          <w:sz w:val="18"/>
          <w:szCs w:val="18"/>
          <w:lang w:val="hr-HR"/>
        </w:rPr>
        <w:t xml:space="preserve"> </w:t>
      </w:r>
      <w:r w:rsidRPr="00262778">
        <w:rPr>
          <w:rFonts w:ascii="Arial" w:hAnsi="Arial" w:cs="Arial"/>
          <w:smallCaps/>
          <w:sz w:val="18"/>
          <w:szCs w:val="18"/>
          <w:lang w:val="pl-PL"/>
        </w:rPr>
        <w:t>navedene</w:t>
      </w:r>
      <w:r w:rsidRPr="00262778">
        <w:rPr>
          <w:rFonts w:ascii="Arial" w:hAnsi="Arial" w:cs="Arial"/>
          <w:smallCaps/>
          <w:sz w:val="18"/>
          <w:szCs w:val="18"/>
          <w:lang w:val="hr-HR"/>
        </w:rPr>
        <w:t xml:space="preserve"> </w:t>
      </w:r>
      <w:r w:rsidRPr="00262778">
        <w:rPr>
          <w:rFonts w:ascii="Arial" w:hAnsi="Arial" w:cs="Arial"/>
          <w:smallCaps/>
          <w:sz w:val="18"/>
          <w:szCs w:val="18"/>
          <w:lang w:val="pl-PL"/>
        </w:rPr>
        <w:t>instrumente</w:t>
      </w:r>
      <w:r w:rsidRPr="00262778">
        <w:rPr>
          <w:rFonts w:ascii="Arial" w:hAnsi="Arial" w:cs="Arial"/>
          <w:smallCaps/>
          <w:sz w:val="18"/>
          <w:szCs w:val="18"/>
          <w:lang w:val="hr-HR"/>
        </w:rPr>
        <w:t xml:space="preserve"> </w:t>
      </w:r>
      <w:r w:rsidRPr="00262778">
        <w:rPr>
          <w:rFonts w:ascii="Arial" w:hAnsi="Arial" w:cs="Arial"/>
          <w:smallCaps/>
          <w:sz w:val="18"/>
          <w:szCs w:val="18"/>
          <w:lang w:val="pl-PL"/>
        </w:rPr>
        <w:t>osiguranja</w:t>
      </w:r>
      <w:r w:rsidRPr="00262778">
        <w:rPr>
          <w:rFonts w:ascii="Arial" w:hAnsi="Arial" w:cs="Arial"/>
          <w:smallCaps/>
          <w:sz w:val="18"/>
          <w:szCs w:val="18"/>
          <w:lang w:val="hr-HR"/>
        </w:rPr>
        <w:t xml:space="preserve"> </w:t>
      </w:r>
      <w:r w:rsidRPr="00262778">
        <w:rPr>
          <w:rFonts w:ascii="Arial" w:hAnsi="Arial" w:cs="Arial"/>
          <w:smallCaps/>
          <w:sz w:val="18"/>
          <w:szCs w:val="18"/>
          <w:lang w:val="pl-PL"/>
        </w:rPr>
        <w:t>banka</w:t>
      </w:r>
      <w:r w:rsidRPr="00262778">
        <w:rPr>
          <w:rFonts w:ascii="Arial" w:hAnsi="Arial" w:cs="Arial"/>
          <w:smallCaps/>
          <w:sz w:val="18"/>
          <w:szCs w:val="18"/>
          <w:lang w:val="hr-HR"/>
        </w:rPr>
        <w:t xml:space="preserve"> </w:t>
      </w:r>
      <w:r w:rsidRPr="00262778">
        <w:rPr>
          <w:rFonts w:ascii="Arial" w:hAnsi="Arial" w:cs="Arial"/>
          <w:smallCaps/>
          <w:sz w:val="18"/>
          <w:szCs w:val="18"/>
          <w:lang w:val="pl-PL"/>
        </w:rPr>
        <w:t>zadr</w:t>
      </w:r>
      <w:r w:rsidRPr="00262778">
        <w:rPr>
          <w:rFonts w:ascii="Arial" w:hAnsi="Arial" w:cs="Arial"/>
          <w:smallCaps/>
          <w:sz w:val="18"/>
          <w:szCs w:val="18"/>
          <w:lang w:val="hr-HR"/>
        </w:rPr>
        <w:t>ž</w:t>
      </w:r>
      <w:r w:rsidRPr="00262778">
        <w:rPr>
          <w:rFonts w:ascii="Arial" w:hAnsi="Arial" w:cs="Arial"/>
          <w:smallCaps/>
          <w:sz w:val="18"/>
          <w:szCs w:val="18"/>
          <w:lang w:val="pl-PL"/>
        </w:rPr>
        <w:t>ava</w:t>
      </w:r>
      <w:r w:rsidRPr="00262778">
        <w:rPr>
          <w:rFonts w:ascii="Arial" w:hAnsi="Arial" w:cs="Arial"/>
          <w:smallCaps/>
          <w:sz w:val="18"/>
          <w:szCs w:val="18"/>
          <w:lang w:val="hr-HR"/>
        </w:rPr>
        <w:t xml:space="preserve"> </w:t>
      </w:r>
      <w:r w:rsidRPr="00262778">
        <w:rPr>
          <w:rFonts w:ascii="Arial" w:hAnsi="Arial" w:cs="Arial"/>
          <w:smallCaps/>
          <w:sz w:val="18"/>
          <w:szCs w:val="18"/>
          <w:lang w:val="pl-PL"/>
        </w:rPr>
        <w:t>i</w:t>
      </w:r>
      <w:r w:rsidRPr="00262778">
        <w:rPr>
          <w:rFonts w:ascii="Arial" w:hAnsi="Arial" w:cs="Arial"/>
          <w:smallCaps/>
          <w:sz w:val="18"/>
          <w:szCs w:val="18"/>
          <w:lang w:val="hr-HR"/>
        </w:rPr>
        <w:t xml:space="preserve"> </w:t>
      </w:r>
      <w:r w:rsidRPr="00262778">
        <w:rPr>
          <w:rFonts w:ascii="Arial" w:hAnsi="Arial" w:cs="Arial"/>
          <w:smallCaps/>
          <w:sz w:val="18"/>
          <w:szCs w:val="18"/>
          <w:lang w:val="pl-PL"/>
        </w:rPr>
        <w:t>pravo</w:t>
      </w:r>
      <w:r w:rsidRPr="00262778">
        <w:rPr>
          <w:rFonts w:ascii="Arial" w:hAnsi="Arial" w:cs="Arial"/>
          <w:smallCaps/>
          <w:sz w:val="18"/>
          <w:szCs w:val="18"/>
          <w:lang w:val="hr-HR"/>
        </w:rPr>
        <w:t xml:space="preserve"> </w:t>
      </w:r>
      <w:r w:rsidRPr="00262778">
        <w:rPr>
          <w:rFonts w:ascii="Arial" w:hAnsi="Arial" w:cs="Arial"/>
          <w:smallCaps/>
          <w:sz w:val="18"/>
          <w:szCs w:val="18"/>
          <w:lang w:val="pl-PL"/>
        </w:rPr>
        <w:t>tra</w:t>
      </w:r>
      <w:r w:rsidRPr="00262778">
        <w:rPr>
          <w:rFonts w:ascii="Arial" w:hAnsi="Arial" w:cs="Arial"/>
          <w:smallCaps/>
          <w:sz w:val="18"/>
          <w:szCs w:val="18"/>
          <w:lang w:val="hr-HR"/>
        </w:rPr>
        <w:t>ž</w:t>
      </w:r>
      <w:r w:rsidRPr="00262778">
        <w:rPr>
          <w:rFonts w:ascii="Arial" w:hAnsi="Arial" w:cs="Arial"/>
          <w:smallCaps/>
          <w:sz w:val="18"/>
          <w:szCs w:val="18"/>
          <w:lang w:val="pl-PL"/>
        </w:rPr>
        <w:t>enja</w:t>
      </w:r>
      <w:r w:rsidRPr="00262778">
        <w:rPr>
          <w:rFonts w:ascii="Arial" w:hAnsi="Arial" w:cs="Arial"/>
          <w:smallCaps/>
          <w:sz w:val="18"/>
          <w:szCs w:val="18"/>
          <w:lang w:val="hr-HR"/>
        </w:rPr>
        <w:t xml:space="preserve"> </w:t>
      </w:r>
      <w:r w:rsidRPr="00262778">
        <w:rPr>
          <w:rFonts w:ascii="Arial" w:hAnsi="Arial" w:cs="Arial"/>
          <w:smallCaps/>
          <w:sz w:val="18"/>
          <w:szCs w:val="18"/>
          <w:lang w:val="pl-PL"/>
        </w:rPr>
        <w:t>dodatne</w:t>
      </w:r>
      <w:r w:rsidRPr="00262778">
        <w:rPr>
          <w:rFonts w:ascii="Arial" w:hAnsi="Arial" w:cs="Arial"/>
          <w:smallCaps/>
          <w:sz w:val="18"/>
          <w:szCs w:val="18"/>
          <w:lang w:val="hr-HR"/>
        </w:rPr>
        <w:t xml:space="preserve"> </w:t>
      </w:r>
      <w:r w:rsidRPr="00262778">
        <w:rPr>
          <w:rFonts w:ascii="Arial" w:hAnsi="Arial" w:cs="Arial"/>
          <w:smallCaps/>
          <w:sz w:val="18"/>
          <w:szCs w:val="18"/>
          <w:lang w:val="pl-PL"/>
        </w:rPr>
        <w:t>dokumentacije</w:t>
      </w:r>
      <w:r w:rsidRPr="00262778">
        <w:rPr>
          <w:rFonts w:ascii="Arial" w:hAnsi="Arial" w:cs="Arial"/>
          <w:smallCaps/>
          <w:sz w:val="18"/>
          <w:szCs w:val="18"/>
          <w:lang w:val="hr-HR"/>
        </w:rPr>
        <w:t xml:space="preserve">. </w:t>
      </w:r>
      <w:r w:rsidRPr="00262778">
        <w:rPr>
          <w:rFonts w:ascii="Arial" w:hAnsi="Arial" w:cs="Arial"/>
          <w:b/>
          <w:bCs/>
          <w:smallCaps/>
          <w:sz w:val="18"/>
          <w:szCs w:val="18"/>
          <w:lang w:val="de-DE"/>
        </w:rPr>
        <w:t>banka</w:t>
      </w:r>
      <w:r w:rsidRPr="00262778">
        <w:rPr>
          <w:rFonts w:ascii="Arial" w:hAnsi="Arial" w:cs="Arial"/>
          <w:b/>
          <w:bCs/>
          <w:smallCaps/>
          <w:sz w:val="18"/>
          <w:szCs w:val="18"/>
          <w:lang w:val="hr-HR"/>
        </w:rPr>
        <w:t xml:space="preserve"> </w:t>
      </w:r>
      <w:r w:rsidRPr="00262778">
        <w:rPr>
          <w:rFonts w:ascii="Arial" w:hAnsi="Arial" w:cs="Arial"/>
          <w:b/>
          <w:bCs/>
          <w:smallCaps/>
          <w:sz w:val="18"/>
          <w:szCs w:val="18"/>
          <w:lang w:val="de-DE"/>
        </w:rPr>
        <w:t>zadr</w:t>
      </w:r>
      <w:r w:rsidRPr="00262778">
        <w:rPr>
          <w:rFonts w:ascii="Arial" w:hAnsi="Arial" w:cs="Arial"/>
          <w:b/>
          <w:bCs/>
          <w:smallCaps/>
          <w:sz w:val="18"/>
          <w:szCs w:val="18"/>
          <w:lang w:val="hr-HR"/>
        </w:rPr>
        <w:t>ž</w:t>
      </w:r>
      <w:r w:rsidRPr="00262778">
        <w:rPr>
          <w:rFonts w:ascii="Arial" w:hAnsi="Arial" w:cs="Arial"/>
          <w:b/>
          <w:bCs/>
          <w:smallCaps/>
          <w:sz w:val="18"/>
          <w:szCs w:val="18"/>
          <w:lang w:val="de-DE"/>
        </w:rPr>
        <w:t>ava</w:t>
      </w:r>
      <w:r w:rsidRPr="00262778">
        <w:rPr>
          <w:rFonts w:ascii="Arial" w:hAnsi="Arial" w:cs="Arial"/>
          <w:b/>
          <w:bCs/>
          <w:smallCaps/>
          <w:sz w:val="18"/>
          <w:szCs w:val="18"/>
          <w:lang w:val="hr-HR"/>
        </w:rPr>
        <w:t xml:space="preserve"> </w:t>
      </w:r>
      <w:r w:rsidRPr="00262778">
        <w:rPr>
          <w:rFonts w:ascii="Arial" w:hAnsi="Arial" w:cs="Arial"/>
          <w:b/>
          <w:bCs/>
          <w:smallCaps/>
          <w:sz w:val="18"/>
          <w:szCs w:val="18"/>
          <w:lang w:val="de-DE"/>
        </w:rPr>
        <w:t>pravo</w:t>
      </w:r>
      <w:r w:rsidRPr="00262778">
        <w:rPr>
          <w:rFonts w:ascii="Arial" w:hAnsi="Arial" w:cs="Arial"/>
          <w:b/>
          <w:bCs/>
          <w:smallCaps/>
          <w:sz w:val="18"/>
          <w:szCs w:val="18"/>
          <w:lang w:val="hr-HR"/>
        </w:rPr>
        <w:t xml:space="preserve"> </w:t>
      </w:r>
      <w:r w:rsidRPr="00262778">
        <w:rPr>
          <w:rFonts w:ascii="Arial" w:hAnsi="Arial" w:cs="Arial"/>
          <w:b/>
          <w:bCs/>
          <w:smallCaps/>
          <w:sz w:val="18"/>
          <w:szCs w:val="18"/>
          <w:lang w:val="de-DE"/>
        </w:rPr>
        <w:t>odbiti</w:t>
      </w:r>
      <w:r w:rsidRPr="00262778">
        <w:rPr>
          <w:rFonts w:ascii="Arial" w:hAnsi="Arial" w:cs="Arial"/>
          <w:b/>
          <w:bCs/>
          <w:smallCaps/>
          <w:sz w:val="18"/>
          <w:szCs w:val="18"/>
          <w:lang w:val="hr-HR"/>
        </w:rPr>
        <w:t xml:space="preserve"> </w:t>
      </w:r>
      <w:r w:rsidRPr="00262778">
        <w:rPr>
          <w:rFonts w:ascii="Arial" w:hAnsi="Arial" w:cs="Arial"/>
          <w:b/>
          <w:bCs/>
          <w:smallCaps/>
          <w:sz w:val="18"/>
          <w:szCs w:val="18"/>
          <w:lang w:val="de-DE"/>
        </w:rPr>
        <w:t>kreditni</w:t>
      </w:r>
      <w:r w:rsidRPr="00262778">
        <w:rPr>
          <w:rFonts w:ascii="Arial" w:hAnsi="Arial" w:cs="Arial"/>
          <w:b/>
          <w:bCs/>
          <w:smallCaps/>
          <w:sz w:val="18"/>
          <w:szCs w:val="18"/>
          <w:lang w:val="hr-HR"/>
        </w:rPr>
        <w:t xml:space="preserve"> </w:t>
      </w:r>
      <w:r w:rsidRPr="00262778">
        <w:rPr>
          <w:rFonts w:ascii="Arial" w:hAnsi="Arial" w:cs="Arial"/>
          <w:b/>
          <w:bCs/>
          <w:smallCaps/>
          <w:sz w:val="18"/>
          <w:szCs w:val="18"/>
          <w:lang w:val="de-DE"/>
        </w:rPr>
        <w:t>zahtjev</w:t>
      </w:r>
      <w:r w:rsidRPr="00262778">
        <w:rPr>
          <w:rFonts w:ascii="Arial" w:hAnsi="Arial" w:cs="Arial"/>
          <w:b/>
          <w:bCs/>
          <w:smallCaps/>
          <w:sz w:val="18"/>
          <w:szCs w:val="18"/>
          <w:lang w:val="hr-HR"/>
        </w:rPr>
        <w:t xml:space="preserve"> </w:t>
      </w:r>
      <w:r w:rsidRPr="00262778">
        <w:rPr>
          <w:rFonts w:ascii="Arial" w:hAnsi="Arial" w:cs="Arial"/>
          <w:b/>
          <w:bCs/>
          <w:smallCaps/>
          <w:sz w:val="18"/>
          <w:szCs w:val="18"/>
          <w:lang w:val="de-DE"/>
        </w:rPr>
        <w:t>bez</w:t>
      </w:r>
      <w:r w:rsidRPr="00262778">
        <w:rPr>
          <w:rFonts w:ascii="Arial" w:hAnsi="Arial" w:cs="Arial"/>
          <w:b/>
          <w:bCs/>
          <w:smallCaps/>
          <w:sz w:val="18"/>
          <w:szCs w:val="18"/>
          <w:lang w:val="hr-HR"/>
        </w:rPr>
        <w:t xml:space="preserve"> </w:t>
      </w:r>
      <w:r w:rsidRPr="00262778">
        <w:rPr>
          <w:rFonts w:ascii="Arial" w:hAnsi="Arial" w:cs="Arial"/>
          <w:b/>
          <w:bCs/>
          <w:smallCaps/>
          <w:sz w:val="18"/>
          <w:szCs w:val="18"/>
          <w:lang w:val="de-DE"/>
        </w:rPr>
        <w:t>obrazlo</w:t>
      </w:r>
      <w:r w:rsidRPr="00262778">
        <w:rPr>
          <w:rFonts w:ascii="Arial" w:hAnsi="Arial" w:cs="Arial"/>
          <w:b/>
          <w:bCs/>
          <w:smallCaps/>
          <w:sz w:val="18"/>
          <w:szCs w:val="18"/>
          <w:lang w:val="hr-HR"/>
        </w:rPr>
        <w:t>ž</w:t>
      </w:r>
      <w:r w:rsidRPr="00262778">
        <w:rPr>
          <w:rFonts w:ascii="Arial" w:hAnsi="Arial" w:cs="Arial"/>
          <w:b/>
          <w:bCs/>
          <w:smallCaps/>
          <w:sz w:val="18"/>
          <w:szCs w:val="18"/>
          <w:lang w:val="de-DE"/>
        </w:rPr>
        <w:t>enja</w:t>
      </w:r>
      <w:r w:rsidRPr="00262778">
        <w:rPr>
          <w:rFonts w:ascii="Arial" w:hAnsi="Arial" w:cs="Arial"/>
          <w:b/>
          <w:bCs/>
          <w:smallCaps/>
          <w:sz w:val="18"/>
          <w:szCs w:val="18"/>
          <w:lang w:val="hr-HR"/>
        </w:rPr>
        <w:t>.</w:t>
      </w:r>
    </w:p>
    <w:p w:rsidR="00BE1531" w:rsidRDefault="00BE1531" w:rsidP="001D24A1">
      <w:pPr>
        <w:pStyle w:val="Header"/>
        <w:rPr>
          <w:rFonts w:ascii="Arial" w:hAnsi="Arial" w:cs="Arial"/>
          <w:b/>
          <w:bCs/>
          <w:smallCaps/>
          <w:sz w:val="18"/>
          <w:szCs w:val="18"/>
          <w:lang w:val="hr-HR"/>
        </w:rPr>
      </w:pPr>
    </w:p>
    <w:p w:rsidR="00BE1531" w:rsidRPr="007A2D5B" w:rsidRDefault="00BE1531" w:rsidP="00BE1531">
      <w:pPr>
        <w:pStyle w:val="Header"/>
        <w:rPr>
          <w:rFonts w:ascii="Arial" w:hAnsi="Arial" w:cs="Arial"/>
          <w:b/>
          <w:bCs/>
          <w:smallCaps/>
          <w:sz w:val="18"/>
          <w:szCs w:val="18"/>
          <w:lang w:val="hr-HR"/>
        </w:rPr>
      </w:pPr>
      <w:r w:rsidRPr="007A2D5B">
        <w:rPr>
          <w:rFonts w:ascii="Arial" w:hAnsi="Arial" w:cs="Arial"/>
          <w:b/>
          <w:bCs/>
          <w:sz w:val="18"/>
          <w:szCs w:val="18"/>
          <w:lang w:val="hr-HR"/>
        </w:rPr>
        <w:t>Uzevši u obzir novonastale rizike uzrokovane COVID 19 pandemijom u vidu narušavanja gospodarske situacije u državi, a koja posljedično dovodi do potencijalnog narušavanja financijske sposobnosti klijenata, moguća su ograničenja pri odobrenju kredita temeljem procjene Banke, a sukladno financi</w:t>
      </w:r>
      <w:r w:rsidR="008D5C7F">
        <w:rPr>
          <w:rFonts w:ascii="Arial" w:hAnsi="Arial" w:cs="Arial"/>
          <w:b/>
          <w:bCs/>
          <w:sz w:val="18"/>
          <w:szCs w:val="18"/>
          <w:lang w:val="hr-HR"/>
        </w:rPr>
        <w:t xml:space="preserve">jskim informacijama o klijentu </w:t>
      </w:r>
      <w:r w:rsidRPr="007A2D5B">
        <w:rPr>
          <w:rFonts w:ascii="Arial" w:hAnsi="Arial" w:cs="Arial"/>
          <w:b/>
          <w:bCs/>
          <w:sz w:val="18"/>
          <w:szCs w:val="18"/>
          <w:lang w:val="hr-HR"/>
        </w:rPr>
        <w:t>i klijentovom poslodavcu.</w:t>
      </w:r>
    </w:p>
    <w:p w:rsidR="00BE1531" w:rsidRPr="00262778" w:rsidRDefault="00BE1531" w:rsidP="001D24A1">
      <w:pPr>
        <w:pStyle w:val="Header"/>
        <w:rPr>
          <w:rFonts w:ascii="Arial" w:hAnsi="Arial" w:cs="Arial"/>
          <w:b/>
          <w:bCs/>
          <w:smallCaps/>
          <w:sz w:val="18"/>
          <w:szCs w:val="18"/>
          <w:lang w:val="hr-HR"/>
        </w:rPr>
      </w:pPr>
    </w:p>
    <w:p w:rsidR="00497B00" w:rsidRPr="00B4345C" w:rsidRDefault="00497B00" w:rsidP="00497B00">
      <w:pPr>
        <w:pStyle w:val="BodyTextIndent2"/>
        <w:ind w:left="0" w:firstLine="0"/>
        <w:jc w:val="left"/>
        <w:rPr>
          <w:i/>
          <w:iCs/>
          <w:color w:val="auto"/>
          <w:sz w:val="18"/>
          <w:szCs w:val="18"/>
          <w:lang w:val="hr-HR"/>
        </w:rPr>
      </w:pPr>
      <w:r w:rsidRPr="00B4345C">
        <w:rPr>
          <w:i/>
          <w:iCs/>
          <w:color w:val="auto"/>
          <w:sz w:val="18"/>
          <w:szCs w:val="18"/>
          <w:lang w:val="hr-HR"/>
        </w:rPr>
        <w:t xml:space="preserve">                                                                                                                 </w:t>
      </w:r>
    </w:p>
    <w:p w:rsidR="008B1866" w:rsidRPr="00B4345C" w:rsidRDefault="008B1866" w:rsidP="00497B00">
      <w:pPr>
        <w:pStyle w:val="BodyTextIndent2"/>
        <w:ind w:left="0" w:firstLine="0"/>
        <w:jc w:val="left"/>
        <w:rPr>
          <w:i/>
          <w:iCs/>
          <w:color w:val="auto"/>
          <w:sz w:val="18"/>
          <w:szCs w:val="18"/>
          <w:lang w:val="hr-HR"/>
        </w:rPr>
      </w:pPr>
    </w:p>
    <w:p w:rsidR="008B1866" w:rsidRPr="00AD4E65" w:rsidRDefault="008B1866" w:rsidP="00497B00">
      <w:pPr>
        <w:pStyle w:val="BodyTextIndent2"/>
        <w:ind w:left="0" w:firstLine="0"/>
        <w:jc w:val="left"/>
        <w:rPr>
          <w:i/>
          <w:iCs/>
          <w:color w:val="auto"/>
          <w:sz w:val="18"/>
          <w:szCs w:val="18"/>
          <w:lang w:val="hr-HR"/>
        </w:rPr>
      </w:pPr>
    </w:p>
    <w:p w:rsidR="001D24A1" w:rsidRPr="00AD4E65" w:rsidRDefault="00497B00" w:rsidP="00497B00">
      <w:pPr>
        <w:pStyle w:val="BodyTextIndent2"/>
        <w:ind w:left="6372" w:firstLine="708"/>
        <w:jc w:val="left"/>
        <w:rPr>
          <w:i/>
          <w:iCs/>
          <w:color w:val="auto"/>
          <w:sz w:val="18"/>
          <w:szCs w:val="18"/>
        </w:rPr>
      </w:pPr>
      <w:r w:rsidRPr="00AD4E65">
        <w:rPr>
          <w:i/>
          <w:iCs/>
          <w:color w:val="auto"/>
          <w:sz w:val="18"/>
          <w:szCs w:val="18"/>
          <w:lang w:val="hr-HR"/>
        </w:rPr>
        <w:t xml:space="preserve">  </w:t>
      </w:r>
      <w:r w:rsidR="001D24A1" w:rsidRPr="00AD4E65">
        <w:rPr>
          <w:i/>
          <w:iCs/>
          <w:color w:val="auto"/>
          <w:sz w:val="18"/>
          <w:szCs w:val="18"/>
        </w:rPr>
        <w:t>Primjenjuje</w:t>
      </w:r>
      <w:r w:rsidR="001D24A1" w:rsidRPr="00AD4E65">
        <w:rPr>
          <w:i/>
          <w:iCs/>
          <w:color w:val="auto"/>
          <w:sz w:val="18"/>
          <w:szCs w:val="18"/>
          <w:lang w:val="hr-HR"/>
        </w:rPr>
        <w:t xml:space="preserve"> </w:t>
      </w:r>
      <w:r w:rsidR="001D24A1" w:rsidRPr="00AD4E65">
        <w:rPr>
          <w:i/>
          <w:iCs/>
          <w:color w:val="auto"/>
          <w:sz w:val="18"/>
          <w:szCs w:val="18"/>
        </w:rPr>
        <w:t>se</w:t>
      </w:r>
      <w:r w:rsidR="001D24A1" w:rsidRPr="00AD4E65">
        <w:rPr>
          <w:i/>
          <w:iCs/>
          <w:color w:val="auto"/>
          <w:sz w:val="18"/>
          <w:szCs w:val="18"/>
          <w:lang w:val="hr-HR"/>
        </w:rPr>
        <w:t xml:space="preserve"> </w:t>
      </w:r>
      <w:r w:rsidR="001D24A1" w:rsidRPr="00AD4E65">
        <w:rPr>
          <w:i/>
          <w:iCs/>
          <w:color w:val="auto"/>
          <w:sz w:val="18"/>
          <w:szCs w:val="18"/>
        </w:rPr>
        <w:t>od</w:t>
      </w:r>
      <w:r w:rsidR="001D24A1" w:rsidRPr="00AD4E65">
        <w:rPr>
          <w:i/>
          <w:iCs/>
          <w:color w:val="auto"/>
          <w:sz w:val="18"/>
          <w:szCs w:val="18"/>
          <w:lang w:val="hr-HR"/>
        </w:rPr>
        <w:t xml:space="preserve"> </w:t>
      </w:r>
      <w:r w:rsidR="00C51A1B">
        <w:rPr>
          <w:i/>
          <w:iCs/>
          <w:color w:val="auto"/>
          <w:sz w:val="18"/>
          <w:szCs w:val="18"/>
          <w:lang w:val="hr-HR"/>
        </w:rPr>
        <w:t>11.10.</w:t>
      </w:r>
      <w:r w:rsidR="00D54570">
        <w:rPr>
          <w:i/>
          <w:iCs/>
          <w:color w:val="auto"/>
          <w:sz w:val="18"/>
          <w:szCs w:val="18"/>
          <w:lang w:val="hr-HR"/>
        </w:rPr>
        <w:t>2021.</w:t>
      </w:r>
    </w:p>
    <w:sectPr w:rsidR="001D24A1" w:rsidRPr="00AD4E65" w:rsidSect="00B4712D">
      <w:footerReference w:type="default" r:id="rId11"/>
      <w:pgSz w:w="11906" w:h="16838"/>
      <w:pgMar w:top="1134" w:right="720" w:bottom="170" w:left="72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617" w:rsidRDefault="001B7617" w:rsidP="0077011D">
      <w:pPr>
        <w:spacing w:after="0" w:line="240" w:lineRule="auto"/>
      </w:pPr>
      <w:r>
        <w:separator/>
      </w:r>
    </w:p>
  </w:endnote>
  <w:endnote w:type="continuationSeparator" w:id="0">
    <w:p w:rsidR="001B7617" w:rsidRDefault="001B7617" w:rsidP="0077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420406"/>
      <w:docPartObj>
        <w:docPartGallery w:val="Page Numbers (Bottom of Page)"/>
        <w:docPartUnique/>
      </w:docPartObj>
    </w:sdtPr>
    <w:sdtEndPr/>
    <w:sdtContent>
      <w:p w:rsidR="00E87580" w:rsidRDefault="00E87580">
        <w:pPr>
          <w:pStyle w:val="Footer"/>
          <w:jc w:val="right"/>
        </w:pPr>
        <w:r>
          <w:fldChar w:fldCharType="begin"/>
        </w:r>
        <w:r>
          <w:instrText xml:space="preserve"> PAGE   \* MERGEFORMAT </w:instrText>
        </w:r>
        <w:r>
          <w:fldChar w:fldCharType="separate"/>
        </w:r>
        <w:r w:rsidR="00E642B3">
          <w:rPr>
            <w:noProof/>
          </w:rPr>
          <w:t>6</w:t>
        </w:r>
        <w:r>
          <w:rPr>
            <w:noProof/>
          </w:rPr>
          <w:fldChar w:fldCharType="end"/>
        </w:r>
      </w:p>
    </w:sdtContent>
  </w:sdt>
  <w:p w:rsidR="00E87580" w:rsidRDefault="00E8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617" w:rsidRDefault="001B7617" w:rsidP="0077011D">
      <w:pPr>
        <w:spacing w:after="0" w:line="240" w:lineRule="auto"/>
      </w:pPr>
      <w:r>
        <w:separator/>
      </w:r>
    </w:p>
  </w:footnote>
  <w:footnote w:type="continuationSeparator" w:id="0">
    <w:p w:rsidR="001B7617" w:rsidRDefault="001B7617" w:rsidP="00770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126B"/>
    <w:multiLevelType w:val="hybridMultilevel"/>
    <w:tmpl w:val="CA3CF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152B9"/>
    <w:multiLevelType w:val="hybridMultilevel"/>
    <w:tmpl w:val="2FFE7C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90E7CB8"/>
    <w:multiLevelType w:val="hybridMultilevel"/>
    <w:tmpl w:val="C52A7308"/>
    <w:lvl w:ilvl="0" w:tplc="9B30F890">
      <w:start w:val="1"/>
      <w:numFmt w:val="bullet"/>
      <w:lvlText w:val="•"/>
      <w:lvlJc w:val="left"/>
      <w:pPr>
        <w:ind w:left="360" w:hanging="360"/>
      </w:pPr>
      <w:rPr>
        <w:rFonts w:ascii="Arial Black" w:hAnsi="Arial Black" w:hint="default"/>
        <w:b/>
        <w:bCs/>
        <w:i w:val="0"/>
        <w:iCs w:val="0"/>
        <w:color w:val="439639"/>
        <w:w w:val="1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4A3416"/>
    <w:multiLevelType w:val="hybridMultilevel"/>
    <w:tmpl w:val="E6CE1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4428BB"/>
    <w:multiLevelType w:val="hybridMultilevel"/>
    <w:tmpl w:val="948097DE"/>
    <w:lvl w:ilvl="0" w:tplc="6C4870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7125FD3"/>
    <w:multiLevelType w:val="hybridMultilevel"/>
    <w:tmpl w:val="EDA0CD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FB94B49"/>
    <w:multiLevelType w:val="singleLevel"/>
    <w:tmpl w:val="041A0005"/>
    <w:lvl w:ilvl="0">
      <w:start w:val="1"/>
      <w:numFmt w:val="bullet"/>
      <w:lvlText w:val=""/>
      <w:lvlJc w:val="left"/>
      <w:pPr>
        <w:ind w:left="720" w:hanging="360"/>
      </w:pPr>
      <w:rPr>
        <w:rFonts w:ascii="Wingdings" w:hAnsi="Wingdings" w:hint="default"/>
        <w:color w:val="auto"/>
      </w:rPr>
    </w:lvl>
  </w:abstractNum>
  <w:abstractNum w:abstractNumId="7" w15:restartNumberingAfterBreak="0">
    <w:nsid w:val="7C413037"/>
    <w:multiLevelType w:val="hybridMultilevel"/>
    <w:tmpl w:val="CE5C49D4"/>
    <w:lvl w:ilvl="0" w:tplc="9DA8C3D8">
      <w:start w:val="1"/>
      <w:numFmt w:val="decimal"/>
      <w:lvlText w:val="%1"/>
      <w:lvlJc w:val="left"/>
      <w:pPr>
        <w:ind w:left="720" w:hanging="360"/>
      </w:pPr>
      <w:rPr>
        <w:rFonts w:eastAsia="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8F"/>
    <w:rsid w:val="00000390"/>
    <w:rsid w:val="00007411"/>
    <w:rsid w:val="000078DA"/>
    <w:rsid w:val="00007A8B"/>
    <w:rsid w:val="000131CA"/>
    <w:rsid w:val="00014654"/>
    <w:rsid w:val="000232CE"/>
    <w:rsid w:val="00027314"/>
    <w:rsid w:val="000305C2"/>
    <w:rsid w:val="0003096C"/>
    <w:rsid w:val="00037EEA"/>
    <w:rsid w:val="00045790"/>
    <w:rsid w:val="0004630B"/>
    <w:rsid w:val="00047E67"/>
    <w:rsid w:val="00064E4E"/>
    <w:rsid w:val="00071575"/>
    <w:rsid w:val="000837FA"/>
    <w:rsid w:val="00084C9B"/>
    <w:rsid w:val="00085B99"/>
    <w:rsid w:val="00095358"/>
    <w:rsid w:val="000A14A5"/>
    <w:rsid w:val="000B1F3A"/>
    <w:rsid w:val="000B49E6"/>
    <w:rsid w:val="000B686F"/>
    <w:rsid w:val="000C5ED4"/>
    <w:rsid w:val="000C6E79"/>
    <w:rsid w:val="000D0A9A"/>
    <w:rsid w:val="000D29C5"/>
    <w:rsid w:val="000D2DF8"/>
    <w:rsid w:val="000E256C"/>
    <w:rsid w:val="000E2E36"/>
    <w:rsid w:val="000E7CC2"/>
    <w:rsid w:val="000F0C14"/>
    <w:rsid w:val="000F3053"/>
    <w:rsid w:val="00103EE2"/>
    <w:rsid w:val="00107201"/>
    <w:rsid w:val="001102B2"/>
    <w:rsid w:val="00121C13"/>
    <w:rsid w:val="001258AB"/>
    <w:rsid w:val="00126D7F"/>
    <w:rsid w:val="001341D7"/>
    <w:rsid w:val="00134E1C"/>
    <w:rsid w:val="0014491E"/>
    <w:rsid w:val="001519D7"/>
    <w:rsid w:val="001721E9"/>
    <w:rsid w:val="00177817"/>
    <w:rsid w:val="00186FEE"/>
    <w:rsid w:val="0019088B"/>
    <w:rsid w:val="00191F29"/>
    <w:rsid w:val="001A24C9"/>
    <w:rsid w:val="001A3AEF"/>
    <w:rsid w:val="001B1592"/>
    <w:rsid w:val="001B7617"/>
    <w:rsid w:val="001D24A1"/>
    <w:rsid w:val="001D393B"/>
    <w:rsid w:val="0020073F"/>
    <w:rsid w:val="0020784E"/>
    <w:rsid w:val="00211682"/>
    <w:rsid w:val="0021261F"/>
    <w:rsid w:val="0021446A"/>
    <w:rsid w:val="0023473B"/>
    <w:rsid w:val="00237304"/>
    <w:rsid w:val="002428AF"/>
    <w:rsid w:val="002517FB"/>
    <w:rsid w:val="00253D97"/>
    <w:rsid w:val="00262778"/>
    <w:rsid w:val="002824A2"/>
    <w:rsid w:val="00290339"/>
    <w:rsid w:val="00295E49"/>
    <w:rsid w:val="002A513B"/>
    <w:rsid w:val="002B4500"/>
    <w:rsid w:val="002B5AA5"/>
    <w:rsid w:val="002B6DF8"/>
    <w:rsid w:val="002C68A4"/>
    <w:rsid w:val="002D4518"/>
    <w:rsid w:val="002D4898"/>
    <w:rsid w:val="002E02A6"/>
    <w:rsid w:val="002F6B0A"/>
    <w:rsid w:val="0031678A"/>
    <w:rsid w:val="00335484"/>
    <w:rsid w:val="003369A1"/>
    <w:rsid w:val="00342C58"/>
    <w:rsid w:val="00345D91"/>
    <w:rsid w:val="00351268"/>
    <w:rsid w:val="003540F6"/>
    <w:rsid w:val="00365B91"/>
    <w:rsid w:val="00385D49"/>
    <w:rsid w:val="00385DAA"/>
    <w:rsid w:val="003870A3"/>
    <w:rsid w:val="003911A3"/>
    <w:rsid w:val="00392BC5"/>
    <w:rsid w:val="00393AE4"/>
    <w:rsid w:val="003A5C43"/>
    <w:rsid w:val="003C33C1"/>
    <w:rsid w:val="003D1019"/>
    <w:rsid w:val="003D155B"/>
    <w:rsid w:val="003E400C"/>
    <w:rsid w:val="004066AE"/>
    <w:rsid w:val="00407FBD"/>
    <w:rsid w:val="0041350C"/>
    <w:rsid w:val="00417950"/>
    <w:rsid w:val="0043007C"/>
    <w:rsid w:val="004302B9"/>
    <w:rsid w:val="00447D71"/>
    <w:rsid w:val="004539BD"/>
    <w:rsid w:val="00464193"/>
    <w:rsid w:val="00464B56"/>
    <w:rsid w:val="00476020"/>
    <w:rsid w:val="00476EAC"/>
    <w:rsid w:val="00491425"/>
    <w:rsid w:val="00494049"/>
    <w:rsid w:val="00497B00"/>
    <w:rsid w:val="004A244A"/>
    <w:rsid w:val="004A6D5A"/>
    <w:rsid w:val="004B06D7"/>
    <w:rsid w:val="004B46D7"/>
    <w:rsid w:val="004B4701"/>
    <w:rsid w:val="004E2F25"/>
    <w:rsid w:val="004E36B7"/>
    <w:rsid w:val="004F3D8F"/>
    <w:rsid w:val="004F5763"/>
    <w:rsid w:val="005049E5"/>
    <w:rsid w:val="005107B2"/>
    <w:rsid w:val="00517506"/>
    <w:rsid w:val="00524997"/>
    <w:rsid w:val="005251DE"/>
    <w:rsid w:val="00533261"/>
    <w:rsid w:val="00533D50"/>
    <w:rsid w:val="00551752"/>
    <w:rsid w:val="0055498A"/>
    <w:rsid w:val="00555E8F"/>
    <w:rsid w:val="005616FF"/>
    <w:rsid w:val="00582575"/>
    <w:rsid w:val="0059303B"/>
    <w:rsid w:val="005C17C4"/>
    <w:rsid w:val="005C4162"/>
    <w:rsid w:val="005D47EB"/>
    <w:rsid w:val="005E77DF"/>
    <w:rsid w:val="006006CB"/>
    <w:rsid w:val="0060223B"/>
    <w:rsid w:val="00612C8D"/>
    <w:rsid w:val="00614316"/>
    <w:rsid w:val="006156B6"/>
    <w:rsid w:val="00617D0D"/>
    <w:rsid w:val="00622DC7"/>
    <w:rsid w:val="006305BA"/>
    <w:rsid w:val="00633349"/>
    <w:rsid w:val="00633E8E"/>
    <w:rsid w:val="0063730A"/>
    <w:rsid w:val="00642747"/>
    <w:rsid w:val="00645EDE"/>
    <w:rsid w:val="0065036C"/>
    <w:rsid w:val="006550F6"/>
    <w:rsid w:val="00667018"/>
    <w:rsid w:val="006720CF"/>
    <w:rsid w:val="00674823"/>
    <w:rsid w:val="0067552B"/>
    <w:rsid w:val="00675DA7"/>
    <w:rsid w:val="00684B18"/>
    <w:rsid w:val="006868DF"/>
    <w:rsid w:val="00691CCD"/>
    <w:rsid w:val="006A4C48"/>
    <w:rsid w:val="006C5912"/>
    <w:rsid w:val="006C75C7"/>
    <w:rsid w:val="006D39E6"/>
    <w:rsid w:val="006E04DF"/>
    <w:rsid w:val="006E23E9"/>
    <w:rsid w:val="006E28ED"/>
    <w:rsid w:val="006F1923"/>
    <w:rsid w:val="006F4ED2"/>
    <w:rsid w:val="006F74C8"/>
    <w:rsid w:val="00713A04"/>
    <w:rsid w:val="00715FF2"/>
    <w:rsid w:val="00720EA4"/>
    <w:rsid w:val="007224D3"/>
    <w:rsid w:val="00726093"/>
    <w:rsid w:val="00730630"/>
    <w:rsid w:val="007462D1"/>
    <w:rsid w:val="00746574"/>
    <w:rsid w:val="00746578"/>
    <w:rsid w:val="007474DD"/>
    <w:rsid w:val="007607FE"/>
    <w:rsid w:val="0077011D"/>
    <w:rsid w:val="00774209"/>
    <w:rsid w:val="00774798"/>
    <w:rsid w:val="00774993"/>
    <w:rsid w:val="00774EA4"/>
    <w:rsid w:val="007838DD"/>
    <w:rsid w:val="0079018B"/>
    <w:rsid w:val="007910E6"/>
    <w:rsid w:val="0079463F"/>
    <w:rsid w:val="00796998"/>
    <w:rsid w:val="007C41BC"/>
    <w:rsid w:val="007D0A09"/>
    <w:rsid w:val="007D399B"/>
    <w:rsid w:val="007F159D"/>
    <w:rsid w:val="007F1FA5"/>
    <w:rsid w:val="007F2D72"/>
    <w:rsid w:val="007F7153"/>
    <w:rsid w:val="00803DD6"/>
    <w:rsid w:val="0080465B"/>
    <w:rsid w:val="0081197A"/>
    <w:rsid w:val="0082271C"/>
    <w:rsid w:val="00822774"/>
    <w:rsid w:val="00822F1D"/>
    <w:rsid w:val="00823329"/>
    <w:rsid w:val="00825A95"/>
    <w:rsid w:val="0082625B"/>
    <w:rsid w:val="008413AE"/>
    <w:rsid w:val="00847D00"/>
    <w:rsid w:val="00850F54"/>
    <w:rsid w:val="00851123"/>
    <w:rsid w:val="0085301C"/>
    <w:rsid w:val="0086110E"/>
    <w:rsid w:val="00864B58"/>
    <w:rsid w:val="00867DA2"/>
    <w:rsid w:val="00871B9A"/>
    <w:rsid w:val="008802D7"/>
    <w:rsid w:val="008829AE"/>
    <w:rsid w:val="008843FD"/>
    <w:rsid w:val="008854FC"/>
    <w:rsid w:val="00887F34"/>
    <w:rsid w:val="0089640F"/>
    <w:rsid w:val="008A57AB"/>
    <w:rsid w:val="008B0E24"/>
    <w:rsid w:val="008B17F1"/>
    <w:rsid w:val="008B1866"/>
    <w:rsid w:val="008B322F"/>
    <w:rsid w:val="008C0CFA"/>
    <w:rsid w:val="008C18A1"/>
    <w:rsid w:val="008C7D83"/>
    <w:rsid w:val="008D21C6"/>
    <w:rsid w:val="008D5A5C"/>
    <w:rsid w:val="008D5C7F"/>
    <w:rsid w:val="008E3D75"/>
    <w:rsid w:val="008E548C"/>
    <w:rsid w:val="008F5C74"/>
    <w:rsid w:val="008F651E"/>
    <w:rsid w:val="008F7A09"/>
    <w:rsid w:val="00906E9E"/>
    <w:rsid w:val="00915478"/>
    <w:rsid w:val="00923D20"/>
    <w:rsid w:val="00963AA6"/>
    <w:rsid w:val="00973296"/>
    <w:rsid w:val="00973F96"/>
    <w:rsid w:val="0099495E"/>
    <w:rsid w:val="009A2BC8"/>
    <w:rsid w:val="009A31C9"/>
    <w:rsid w:val="009A49FD"/>
    <w:rsid w:val="009A4F81"/>
    <w:rsid w:val="009B697B"/>
    <w:rsid w:val="009B78CB"/>
    <w:rsid w:val="009C00BB"/>
    <w:rsid w:val="009C0219"/>
    <w:rsid w:val="009C1282"/>
    <w:rsid w:val="009D5199"/>
    <w:rsid w:val="009D6790"/>
    <w:rsid w:val="009E222E"/>
    <w:rsid w:val="009F6714"/>
    <w:rsid w:val="00A12402"/>
    <w:rsid w:val="00A339E8"/>
    <w:rsid w:val="00A37C3D"/>
    <w:rsid w:val="00A5566A"/>
    <w:rsid w:val="00A55D57"/>
    <w:rsid w:val="00A73717"/>
    <w:rsid w:val="00A74E10"/>
    <w:rsid w:val="00A84E4E"/>
    <w:rsid w:val="00A92783"/>
    <w:rsid w:val="00A96018"/>
    <w:rsid w:val="00AA0E0A"/>
    <w:rsid w:val="00AA741D"/>
    <w:rsid w:val="00AB1B0D"/>
    <w:rsid w:val="00AC3DF0"/>
    <w:rsid w:val="00AD2C5B"/>
    <w:rsid w:val="00AD4E65"/>
    <w:rsid w:val="00AE1827"/>
    <w:rsid w:val="00AE48D5"/>
    <w:rsid w:val="00AF12DB"/>
    <w:rsid w:val="00AF1830"/>
    <w:rsid w:val="00B01B8A"/>
    <w:rsid w:val="00B02A72"/>
    <w:rsid w:val="00B02E4A"/>
    <w:rsid w:val="00B03368"/>
    <w:rsid w:val="00B058BD"/>
    <w:rsid w:val="00B22CA5"/>
    <w:rsid w:val="00B251C7"/>
    <w:rsid w:val="00B27AC1"/>
    <w:rsid w:val="00B3454B"/>
    <w:rsid w:val="00B4345C"/>
    <w:rsid w:val="00B44CDD"/>
    <w:rsid w:val="00B4712D"/>
    <w:rsid w:val="00B6659C"/>
    <w:rsid w:val="00B7095D"/>
    <w:rsid w:val="00B84993"/>
    <w:rsid w:val="00B9263A"/>
    <w:rsid w:val="00B93505"/>
    <w:rsid w:val="00BA4C57"/>
    <w:rsid w:val="00BD1B4A"/>
    <w:rsid w:val="00BD6125"/>
    <w:rsid w:val="00BD66F8"/>
    <w:rsid w:val="00BE1158"/>
    <w:rsid w:val="00BE1531"/>
    <w:rsid w:val="00BF6254"/>
    <w:rsid w:val="00C06BD4"/>
    <w:rsid w:val="00C174B1"/>
    <w:rsid w:val="00C22E92"/>
    <w:rsid w:val="00C301C4"/>
    <w:rsid w:val="00C31230"/>
    <w:rsid w:val="00C47792"/>
    <w:rsid w:val="00C51A1B"/>
    <w:rsid w:val="00C5751B"/>
    <w:rsid w:val="00C70BF3"/>
    <w:rsid w:val="00C83841"/>
    <w:rsid w:val="00CA108B"/>
    <w:rsid w:val="00CB1EA7"/>
    <w:rsid w:val="00CB37E6"/>
    <w:rsid w:val="00CB3E38"/>
    <w:rsid w:val="00CC3392"/>
    <w:rsid w:val="00CC57D7"/>
    <w:rsid w:val="00CC7262"/>
    <w:rsid w:val="00CD468D"/>
    <w:rsid w:val="00CF1E94"/>
    <w:rsid w:val="00CF523E"/>
    <w:rsid w:val="00CF53CD"/>
    <w:rsid w:val="00CF76E5"/>
    <w:rsid w:val="00D0521F"/>
    <w:rsid w:val="00D052A5"/>
    <w:rsid w:val="00D11CA2"/>
    <w:rsid w:val="00D144E2"/>
    <w:rsid w:val="00D176BD"/>
    <w:rsid w:val="00D33AD6"/>
    <w:rsid w:val="00D366DD"/>
    <w:rsid w:val="00D43E23"/>
    <w:rsid w:val="00D463F2"/>
    <w:rsid w:val="00D54570"/>
    <w:rsid w:val="00D71B56"/>
    <w:rsid w:val="00D723A4"/>
    <w:rsid w:val="00D90C4B"/>
    <w:rsid w:val="00D90CE9"/>
    <w:rsid w:val="00DA062F"/>
    <w:rsid w:val="00DA28A3"/>
    <w:rsid w:val="00DB069D"/>
    <w:rsid w:val="00DB3F40"/>
    <w:rsid w:val="00DB51EC"/>
    <w:rsid w:val="00DB522F"/>
    <w:rsid w:val="00DB78CD"/>
    <w:rsid w:val="00DC3CC3"/>
    <w:rsid w:val="00DC6EC6"/>
    <w:rsid w:val="00DC7DF2"/>
    <w:rsid w:val="00DF1BE6"/>
    <w:rsid w:val="00DF6EC4"/>
    <w:rsid w:val="00E07373"/>
    <w:rsid w:val="00E148BB"/>
    <w:rsid w:val="00E23F7A"/>
    <w:rsid w:val="00E245B2"/>
    <w:rsid w:val="00E34E9B"/>
    <w:rsid w:val="00E3528F"/>
    <w:rsid w:val="00E358B5"/>
    <w:rsid w:val="00E642B3"/>
    <w:rsid w:val="00E71013"/>
    <w:rsid w:val="00E717AD"/>
    <w:rsid w:val="00E72774"/>
    <w:rsid w:val="00E76AFF"/>
    <w:rsid w:val="00E7765A"/>
    <w:rsid w:val="00E820D5"/>
    <w:rsid w:val="00E8604C"/>
    <w:rsid w:val="00E87580"/>
    <w:rsid w:val="00E902DF"/>
    <w:rsid w:val="00E950F7"/>
    <w:rsid w:val="00E962BD"/>
    <w:rsid w:val="00EA0192"/>
    <w:rsid w:val="00EA5052"/>
    <w:rsid w:val="00EC0B38"/>
    <w:rsid w:val="00EC7238"/>
    <w:rsid w:val="00ED2A9D"/>
    <w:rsid w:val="00ED5117"/>
    <w:rsid w:val="00ED6233"/>
    <w:rsid w:val="00ED64A2"/>
    <w:rsid w:val="00EE42D5"/>
    <w:rsid w:val="00EE4DD7"/>
    <w:rsid w:val="00F14E13"/>
    <w:rsid w:val="00F15643"/>
    <w:rsid w:val="00F15A3B"/>
    <w:rsid w:val="00F223D3"/>
    <w:rsid w:val="00F34C5E"/>
    <w:rsid w:val="00F374A7"/>
    <w:rsid w:val="00F40C06"/>
    <w:rsid w:val="00F415F6"/>
    <w:rsid w:val="00F50BF1"/>
    <w:rsid w:val="00F52CBE"/>
    <w:rsid w:val="00F53665"/>
    <w:rsid w:val="00F67A00"/>
    <w:rsid w:val="00F701B7"/>
    <w:rsid w:val="00F76918"/>
    <w:rsid w:val="00F846FC"/>
    <w:rsid w:val="00F90D0A"/>
    <w:rsid w:val="00F93034"/>
    <w:rsid w:val="00F9315C"/>
    <w:rsid w:val="00F97050"/>
    <w:rsid w:val="00F97126"/>
    <w:rsid w:val="00F97AB8"/>
    <w:rsid w:val="00FA146D"/>
    <w:rsid w:val="00FB2B35"/>
    <w:rsid w:val="00FC6B33"/>
    <w:rsid w:val="00FC772F"/>
    <w:rsid w:val="00FD2B56"/>
    <w:rsid w:val="00FD5000"/>
    <w:rsid w:val="00FD6907"/>
    <w:rsid w:val="00FD6B23"/>
    <w:rsid w:val="00FE1129"/>
    <w:rsid w:val="00FE2855"/>
    <w:rsid w:val="00FE4DC5"/>
    <w:rsid w:val="00FE4F77"/>
    <w:rsid w:val="00FF09DC"/>
    <w:rsid w:val="00FF0D32"/>
    <w:rsid w:val="00FF4C7B"/>
    <w:rsid w:val="00FF72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C0A63-EA79-4851-B311-3F922DA9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701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011D"/>
  </w:style>
  <w:style w:type="paragraph" w:styleId="Footer">
    <w:name w:val="footer"/>
    <w:basedOn w:val="Normal"/>
    <w:link w:val="FooterChar"/>
    <w:uiPriority w:val="99"/>
    <w:unhideWhenUsed/>
    <w:rsid w:val="007701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011D"/>
  </w:style>
  <w:style w:type="paragraph" w:styleId="BalloonText">
    <w:name w:val="Balloon Text"/>
    <w:basedOn w:val="Normal"/>
    <w:link w:val="BalloonTextChar"/>
    <w:uiPriority w:val="99"/>
    <w:semiHidden/>
    <w:unhideWhenUsed/>
    <w:rsid w:val="002B6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F8"/>
    <w:rPr>
      <w:rFonts w:ascii="Tahoma" w:hAnsi="Tahoma" w:cs="Tahoma"/>
      <w:sz w:val="16"/>
      <w:szCs w:val="16"/>
    </w:rPr>
  </w:style>
  <w:style w:type="character" w:styleId="Hyperlink">
    <w:name w:val="Hyperlink"/>
    <w:basedOn w:val="DefaultParagraphFont"/>
    <w:uiPriority w:val="99"/>
    <w:unhideWhenUsed/>
    <w:rsid w:val="00517506"/>
    <w:rPr>
      <w:color w:val="0000FF" w:themeColor="hyperlink"/>
      <w:u w:val="single"/>
    </w:rPr>
  </w:style>
  <w:style w:type="paragraph" w:customStyle="1" w:styleId="03GLAVNITEKST">
    <w:name w:val="03_GLAVNI TEKST"/>
    <w:basedOn w:val="Normal"/>
    <w:autoRedefine/>
    <w:qFormat/>
    <w:rsid w:val="00906E9E"/>
    <w:pPr>
      <w:widowControl w:val="0"/>
      <w:autoSpaceDE w:val="0"/>
      <w:autoSpaceDN w:val="0"/>
      <w:adjustRightInd w:val="0"/>
      <w:spacing w:after="0" w:line="220" w:lineRule="atLeast"/>
      <w:jc w:val="center"/>
      <w:textAlignment w:val="center"/>
    </w:pPr>
    <w:rPr>
      <w:rFonts w:ascii="Arial" w:eastAsia="MS Mincho" w:hAnsi="Arial" w:cs="Arial"/>
      <w:sz w:val="18"/>
      <w:szCs w:val="20"/>
      <w:lang w:val="en-GB"/>
    </w:rPr>
  </w:style>
  <w:style w:type="paragraph" w:customStyle="1" w:styleId="06fusnote">
    <w:name w:val="06_fusnote"/>
    <w:qFormat/>
    <w:rsid w:val="0020073F"/>
    <w:pPr>
      <w:spacing w:after="0" w:line="190" w:lineRule="atLeast"/>
    </w:pPr>
    <w:rPr>
      <w:rFonts w:ascii="Arial" w:eastAsia="Times New Roman" w:hAnsi="Arial" w:cs="Times New Roman"/>
      <w:sz w:val="16"/>
      <w:szCs w:val="20"/>
      <w:lang w:val="en-AU"/>
    </w:rPr>
  </w:style>
  <w:style w:type="paragraph" w:styleId="BodyTextIndent2">
    <w:name w:val="Body Text Indent 2"/>
    <w:basedOn w:val="Normal"/>
    <w:link w:val="BodyTextIndent2Char"/>
    <w:rsid w:val="001D24A1"/>
    <w:pPr>
      <w:spacing w:after="0" w:line="240" w:lineRule="auto"/>
      <w:ind w:left="1065" w:hanging="1065"/>
      <w:jc w:val="both"/>
    </w:pPr>
    <w:rPr>
      <w:rFonts w:ascii="Arial" w:eastAsia="Times New Roman" w:hAnsi="Arial" w:cs="Arial"/>
      <w:b/>
      <w:bCs/>
      <w:color w:val="000000"/>
      <w:szCs w:val="20"/>
    </w:rPr>
  </w:style>
  <w:style w:type="character" w:customStyle="1" w:styleId="BodyTextIndent2Char">
    <w:name w:val="Body Text Indent 2 Char"/>
    <w:basedOn w:val="DefaultParagraphFont"/>
    <w:link w:val="BodyTextIndent2"/>
    <w:rsid w:val="001D24A1"/>
    <w:rPr>
      <w:rFonts w:ascii="Arial" w:eastAsia="Times New Roman" w:hAnsi="Arial" w:cs="Arial"/>
      <w:b/>
      <w:bCs/>
      <w:color w:val="000000"/>
      <w:szCs w:val="20"/>
    </w:rPr>
  </w:style>
  <w:style w:type="paragraph" w:styleId="ListParagraph">
    <w:name w:val="List Paragraph"/>
    <w:basedOn w:val="Normal"/>
    <w:uiPriority w:val="34"/>
    <w:qFormat/>
    <w:rsid w:val="00027314"/>
    <w:pPr>
      <w:ind w:left="720"/>
      <w:contextualSpacing/>
    </w:pPr>
  </w:style>
  <w:style w:type="paragraph" w:customStyle="1" w:styleId="04BULLETS">
    <w:name w:val="04_BULLETS"/>
    <w:basedOn w:val="Normal"/>
    <w:autoRedefine/>
    <w:qFormat/>
    <w:rsid w:val="00823329"/>
    <w:pPr>
      <w:widowControl w:val="0"/>
      <w:autoSpaceDE w:val="0"/>
      <w:autoSpaceDN w:val="0"/>
      <w:adjustRightInd w:val="0"/>
      <w:spacing w:after="20" w:line="240" w:lineRule="atLeast"/>
      <w:ind w:left="61" w:firstLine="3"/>
      <w:textAlignment w:val="center"/>
    </w:pPr>
    <w:rPr>
      <w:rFonts w:ascii="Arial" w:eastAsia="MS Mincho" w:hAnsi="Arial" w:cs="Arial"/>
      <w:noProof/>
      <w:sz w:val="18"/>
      <w:szCs w:val="18"/>
      <w:lang w:val="en-GB"/>
    </w:rPr>
  </w:style>
  <w:style w:type="character" w:styleId="CommentReference">
    <w:name w:val="annotation reference"/>
    <w:basedOn w:val="DefaultParagraphFont"/>
    <w:uiPriority w:val="99"/>
    <w:semiHidden/>
    <w:unhideWhenUsed/>
    <w:rsid w:val="005D47EB"/>
    <w:rPr>
      <w:sz w:val="16"/>
      <w:szCs w:val="16"/>
    </w:rPr>
  </w:style>
  <w:style w:type="paragraph" w:styleId="CommentText">
    <w:name w:val="annotation text"/>
    <w:basedOn w:val="Normal"/>
    <w:link w:val="CommentTextChar"/>
    <w:uiPriority w:val="99"/>
    <w:semiHidden/>
    <w:unhideWhenUsed/>
    <w:rsid w:val="005D47EB"/>
    <w:pPr>
      <w:spacing w:line="240" w:lineRule="auto"/>
    </w:pPr>
    <w:rPr>
      <w:sz w:val="20"/>
      <w:szCs w:val="20"/>
    </w:rPr>
  </w:style>
  <w:style w:type="character" w:customStyle="1" w:styleId="CommentTextChar">
    <w:name w:val="Comment Text Char"/>
    <w:basedOn w:val="DefaultParagraphFont"/>
    <w:link w:val="CommentText"/>
    <w:uiPriority w:val="99"/>
    <w:semiHidden/>
    <w:rsid w:val="005D47EB"/>
    <w:rPr>
      <w:sz w:val="20"/>
      <w:szCs w:val="20"/>
    </w:rPr>
  </w:style>
  <w:style w:type="paragraph" w:styleId="CommentSubject">
    <w:name w:val="annotation subject"/>
    <w:basedOn w:val="CommentText"/>
    <w:next w:val="CommentText"/>
    <w:link w:val="CommentSubjectChar"/>
    <w:uiPriority w:val="99"/>
    <w:semiHidden/>
    <w:unhideWhenUsed/>
    <w:rsid w:val="005D47EB"/>
    <w:rPr>
      <w:b/>
      <w:bCs/>
    </w:rPr>
  </w:style>
  <w:style w:type="character" w:customStyle="1" w:styleId="CommentSubjectChar">
    <w:name w:val="Comment Subject Char"/>
    <w:basedOn w:val="CommentTextChar"/>
    <w:link w:val="CommentSubject"/>
    <w:uiPriority w:val="99"/>
    <w:semiHidden/>
    <w:rsid w:val="005D47EB"/>
    <w:rPr>
      <w:b/>
      <w:bCs/>
      <w:sz w:val="20"/>
      <w:szCs w:val="20"/>
    </w:rPr>
  </w:style>
  <w:style w:type="paragraph" w:styleId="FootnoteText">
    <w:name w:val="footnote text"/>
    <w:basedOn w:val="Normal"/>
    <w:link w:val="FootnoteTextChar"/>
    <w:uiPriority w:val="99"/>
    <w:semiHidden/>
    <w:unhideWhenUsed/>
    <w:rsid w:val="009A4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9FD"/>
    <w:rPr>
      <w:sz w:val="20"/>
      <w:szCs w:val="20"/>
    </w:rPr>
  </w:style>
  <w:style w:type="character" w:styleId="FootnoteReference">
    <w:name w:val="footnote reference"/>
    <w:basedOn w:val="DefaultParagraphFont"/>
    <w:uiPriority w:val="99"/>
    <w:semiHidden/>
    <w:unhideWhenUsed/>
    <w:rsid w:val="009A49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4238">
      <w:bodyDiv w:val="1"/>
      <w:marLeft w:val="0"/>
      <w:marRight w:val="0"/>
      <w:marTop w:val="0"/>
      <w:marBottom w:val="0"/>
      <w:divBdr>
        <w:top w:val="none" w:sz="0" w:space="0" w:color="auto"/>
        <w:left w:val="none" w:sz="0" w:space="0" w:color="auto"/>
        <w:bottom w:val="none" w:sz="0" w:space="0" w:color="auto"/>
        <w:right w:val="none" w:sz="0" w:space="0" w:color="auto"/>
      </w:divBdr>
    </w:div>
    <w:div w:id="206378011">
      <w:bodyDiv w:val="1"/>
      <w:marLeft w:val="0"/>
      <w:marRight w:val="0"/>
      <w:marTop w:val="0"/>
      <w:marBottom w:val="0"/>
      <w:divBdr>
        <w:top w:val="none" w:sz="0" w:space="0" w:color="auto"/>
        <w:left w:val="none" w:sz="0" w:space="0" w:color="auto"/>
        <w:bottom w:val="none" w:sz="0" w:space="0" w:color="auto"/>
        <w:right w:val="none" w:sz="0" w:space="0" w:color="auto"/>
      </w:divBdr>
    </w:div>
    <w:div w:id="227228051">
      <w:bodyDiv w:val="1"/>
      <w:marLeft w:val="0"/>
      <w:marRight w:val="0"/>
      <w:marTop w:val="0"/>
      <w:marBottom w:val="0"/>
      <w:divBdr>
        <w:top w:val="none" w:sz="0" w:space="0" w:color="auto"/>
        <w:left w:val="none" w:sz="0" w:space="0" w:color="auto"/>
        <w:bottom w:val="none" w:sz="0" w:space="0" w:color="auto"/>
        <w:right w:val="none" w:sz="0" w:space="0" w:color="auto"/>
      </w:divBdr>
    </w:div>
    <w:div w:id="274751466">
      <w:bodyDiv w:val="1"/>
      <w:marLeft w:val="0"/>
      <w:marRight w:val="0"/>
      <w:marTop w:val="0"/>
      <w:marBottom w:val="0"/>
      <w:divBdr>
        <w:top w:val="none" w:sz="0" w:space="0" w:color="auto"/>
        <w:left w:val="none" w:sz="0" w:space="0" w:color="auto"/>
        <w:bottom w:val="none" w:sz="0" w:space="0" w:color="auto"/>
        <w:right w:val="none" w:sz="0" w:space="0" w:color="auto"/>
      </w:divBdr>
    </w:div>
    <w:div w:id="345594612">
      <w:bodyDiv w:val="1"/>
      <w:marLeft w:val="0"/>
      <w:marRight w:val="0"/>
      <w:marTop w:val="0"/>
      <w:marBottom w:val="0"/>
      <w:divBdr>
        <w:top w:val="none" w:sz="0" w:space="0" w:color="auto"/>
        <w:left w:val="none" w:sz="0" w:space="0" w:color="auto"/>
        <w:bottom w:val="none" w:sz="0" w:space="0" w:color="auto"/>
        <w:right w:val="none" w:sz="0" w:space="0" w:color="auto"/>
      </w:divBdr>
    </w:div>
    <w:div w:id="369107511">
      <w:bodyDiv w:val="1"/>
      <w:marLeft w:val="0"/>
      <w:marRight w:val="0"/>
      <w:marTop w:val="0"/>
      <w:marBottom w:val="0"/>
      <w:divBdr>
        <w:top w:val="none" w:sz="0" w:space="0" w:color="auto"/>
        <w:left w:val="none" w:sz="0" w:space="0" w:color="auto"/>
        <w:bottom w:val="none" w:sz="0" w:space="0" w:color="auto"/>
        <w:right w:val="none" w:sz="0" w:space="0" w:color="auto"/>
      </w:divBdr>
    </w:div>
    <w:div w:id="591477280">
      <w:bodyDiv w:val="1"/>
      <w:marLeft w:val="0"/>
      <w:marRight w:val="0"/>
      <w:marTop w:val="0"/>
      <w:marBottom w:val="0"/>
      <w:divBdr>
        <w:top w:val="none" w:sz="0" w:space="0" w:color="auto"/>
        <w:left w:val="none" w:sz="0" w:space="0" w:color="auto"/>
        <w:bottom w:val="none" w:sz="0" w:space="0" w:color="auto"/>
        <w:right w:val="none" w:sz="0" w:space="0" w:color="auto"/>
      </w:divBdr>
    </w:div>
    <w:div w:id="615717117">
      <w:bodyDiv w:val="1"/>
      <w:marLeft w:val="0"/>
      <w:marRight w:val="0"/>
      <w:marTop w:val="0"/>
      <w:marBottom w:val="0"/>
      <w:divBdr>
        <w:top w:val="none" w:sz="0" w:space="0" w:color="auto"/>
        <w:left w:val="none" w:sz="0" w:space="0" w:color="auto"/>
        <w:bottom w:val="none" w:sz="0" w:space="0" w:color="auto"/>
        <w:right w:val="none" w:sz="0" w:space="0" w:color="auto"/>
      </w:divBdr>
    </w:div>
    <w:div w:id="639657128">
      <w:bodyDiv w:val="1"/>
      <w:marLeft w:val="0"/>
      <w:marRight w:val="0"/>
      <w:marTop w:val="0"/>
      <w:marBottom w:val="0"/>
      <w:divBdr>
        <w:top w:val="none" w:sz="0" w:space="0" w:color="auto"/>
        <w:left w:val="none" w:sz="0" w:space="0" w:color="auto"/>
        <w:bottom w:val="none" w:sz="0" w:space="0" w:color="auto"/>
        <w:right w:val="none" w:sz="0" w:space="0" w:color="auto"/>
      </w:divBdr>
    </w:div>
    <w:div w:id="768426967">
      <w:bodyDiv w:val="1"/>
      <w:marLeft w:val="0"/>
      <w:marRight w:val="0"/>
      <w:marTop w:val="0"/>
      <w:marBottom w:val="0"/>
      <w:divBdr>
        <w:top w:val="none" w:sz="0" w:space="0" w:color="auto"/>
        <w:left w:val="none" w:sz="0" w:space="0" w:color="auto"/>
        <w:bottom w:val="none" w:sz="0" w:space="0" w:color="auto"/>
        <w:right w:val="none" w:sz="0" w:space="0" w:color="auto"/>
      </w:divBdr>
    </w:div>
    <w:div w:id="852039745">
      <w:bodyDiv w:val="1"/>
      <w:marLeft w:val="0"/>
      <w:marRight w:val="0"/>
      <w:marTop w:val="0"/>
      <w:marBottom w:val="0"/>
      <w:divBdr>
        <w:top w:val="none" w:sz="0" w:space="0" w:color="auto"/>
        <w:left w:val="none" w:sz="0" w:space="0" w:color="auto"/>
        <w:bottom w:val="none" w:sz="0" w:space="0" w:color="auto"/>
        <w:right w:val="none" w:sz="0" w:space="0" w:color="auto"/>
      </w:divBdr>
    </w:div>
    <w:div w:id="1007095274">
      <w:bodyDiv w:val="1"/>
      <w:marLeft w:val="0"/>
      <w:marRight w:val="0"/>
      <w:marTop w:val="0"/>
      <w:marBottom w:val="0"/>
      <w:divBdr>
        <w:top w:val="none" w:sz="0" w:space="0" w:color="auto"/>
        <w:left w:val="none" w:sz="0" w:space="0" w:color="auto"/>
        <w:bottom w:val="none" w:sz="0" w:space="0" w:color="auto"/>
        <w:right w:val="none" w:sz="0" w:space="0" w:color="auto"/>
      </w:divBdr>
    </w:div>
    <w:div w:id="1019354792">
      <w:bodyDiv w:val="1"/>
      <w:marLeft w:val="0"/>
      <w:marRight w:val="0"/>
      <w:marTop w:val="0"/>
      <w:marBottom w:val="0"/>
      <w:divBdr>
        <w:top w:val="none" w:sz="0" w:space="0" w:color="auto"/>
        <w:left w:val="none" w:sz="0" w:space="0" w:color="auto"/>
        <w:bottom w:val="none" w:sz="0" w:space="0" w:color="auto"/>
        <w:right w:val="none" w:sz="0" w:space="0" w:color="auto"/>
      </w:divBdr>
    </w:div>
    <w:div w:id="1062677592">
      <w:bodyDiv w:val="1"/>
      <w:marLeft w:val="0"/>
      <w:marRight w:val="0"/>
      <w:marTop w:val="0"/>
      <w:marBottom w:val="0"/>
      <w:divBdr>
        <w:top w:val="none" w:sz="0" w:space="0" w:color="auto"/>
        <w:left w:val="none" w:sz="0" w:space="0" w:color="auto"/>
        <w:bottom w:val="none" w:sz="0" w:space="0" w:color="auto"/>
        <w:right w:val="none" w:sz="0" w:space="0" w:color="auto"/>
      </w:divBdr>
    </w:div>
    <w:div w:id="1148400527">
      <w:bodyDiv w:val="1"/>
      <w:marLeft w:val="0"/>
      <w:marRight w:val="0"/>
      <w:marTop w:val="0"/>
      <w:marBottom w:val="0"/>
      <w:divBdr>
        <w:top w:val="none" w:sz="0" w:space="0" w:color="auto"/>
        <w:left w:val="none" w:sz="0" w:space="0" w:color="auto"/>
        <w:bottom w:val="none" w:sz="0" w:space="0" w:color="auto"/>
        <w:right w:val="none" w:sz="0" w:space="0" w:color="auto"/>
      </w:divBdr>
    </w:div>
    <w:div w:id="1189222412">
      <w:bodyDiv w:val="1"/>
      <w:marLeft w:val="0"/>
      <w:marRight w:val="0"/>
      <w:marTop w:val="0"/>
      <w:marBottom w:val="0"/>
      <w:divBdr>
        <w:top w:val="none" w:sz="0" w:space="0" w:color="auto"/>
        <w:left w:val="none" w:sz="0" w:space="0" w:color="auto"/>
        <w:bottom w:val="none" w:sz="0" w:space="0" w:color="auto"/>
        <w:right w:val="none" w:sz="0" w:space="0" w:color="auto"/>
      </w:divBdr>
    </w:div>
    <w:div w:id="1291394919">
      <w:bodyDiv w:val="1"/>
      <w:marLeft w:val="0"/>
      <w:marRight w:val="0"/>
      <w:marTop w:val="0"/>
      <w:marBottom w:val="0"/>
      <w:divBdr>
        <w:top w:val="none" w:sz="0" w:space="0" w:color="auto"/>
        <w:left w:val="none" w:sz="0" w:space="0" w:color="auto"/>
        <w:bottom w:val="none" w:sz="0" w:space="0" w:color="auto"/>
        <w:right w:val="none" w:sz="0" w:space="0" w:color="auto"/>
      </w:divBdr>
    </w:div>
    <w:div w:id="1351954084">
      <w:bodyDiv w:val="1"/>
      <w:marLeft w:val="0"/>
      <w:marRight w:val="0"/>
      <w:marTop w:val="0"/>
      <w:marBottom w:val="0"/>
      <w:divBdr>
        <w:top w:val="none" w:sz="0" w:space="0" w:color="auto"/>
        <w:left w:val="none" w:sz="0" w:space="0" w:color="auto"/>
        <w:bottom w:val="none" w:sz="0" w:space="0" w:color="auto"/>
        <w:right w:val="none" w:sz="0" w:space="0" w:color="auto"/>
      </w:divBdr>
    </w:div>
    <w:div w:id="1427926059">
      <w:bodyDiv w:val="1"/>
      <w:marLeft w:val="0"/>
      <w:marRight w:val="0"/>
      <w:marTop w:val="0"/>
      <w:marBottom w:val="0"/>
      <w:divBdr>
        <w:top w:val="none" w:sz="0" w:space="0" w:color="auto"/>
        <w:left w:val="none" w:sz="0" w:space="0" w:color="auto"/>
        <w:bottom w:val="none" w:sz="0" w:space="0" w:color="auto"/>
        <w:right w:val="none" w:sz="0" w:space="0" w:color="auto"/>
      </w:divBdr>
    </w:div>
    <w:div w:id="1452819805">
      <w:bodyDiv w:val="1"/>
      <w:marLeft w:val="0"/>
      <w:marRight w:val="0"/>
      <w:marTop w:val="0"/>
      <w:marBottom w:val="0"/>
      <w:divBdr>
        <w:top w:val="none" w:sz="0" w:space="0" w:color="auto"/>
        <w:left w:val="none" w:sz="0" w:space="0" w:color="auto"/>
        <w:bottom w:val="none" w:sz="0" w:space="0" w:color="auto"/>
        <w:right w:val="none" w:sz="0" w:space="0" w:color="auto"/>
      </w:divBdr>
    </w:div>
    <w:div w:id="1513765544">
      <w:bodyDiv w:val="1"/>
      <w:marLeft w:val="0"/>
      <w:marRight w:val="0"/>
      <w:marTop w:val="0"/>
      <w:marBottom w:val="0"/>
      <w:divBdr>
        <w:top w:val="none" w:sz="0" w:space="0" w:color="auto"/>
        <w:left w:val="none" w:sz="0" w:space="0" w:color="auto"/>
        <w:bottom w:val="none" w:sz="0" w:space="0" w:color="auto"/>
        <w:right w:val="none" w:sz="0" w:space="0" w:color="auto"/>
      </w:divBdr>
    </w:div>
    <w:div w:id="1516185575">
      <w:bodyDiv w:val="1"/>
      <w:marLeft w:val="0"/>
      <w:marRight w:val="0"/>
      <w:marTop w:val="0"/>
      <w:marBottom w:val="0"/>
      <w:divBdr>
        <w:top w:val="none" w:sz="0" w:space="0" w:color="auto"/>
        <w:left w:val="none" w:sz="0" w:space="0" w:color="auto"/>
        <w:bottom w:val="none" w:sz="0" w:space="0" w:color="auto"/>
        <w:right w:val="none" w:sz="0" w:space="0" w:color="auto"/>
      </w:divBdr>
    </w:div>
    <w:div w:id="1563907422">
      <w:bodyDiv w:val="1"/>
      <w:marLeft w:val="0"/>
      <w:marRight w:val="0"/>
      <w:marTop w:val="0"/>
      <w:marBottom w:val="0"/>
      <w:divBdr>
        <w:top w:val="none" w:sz="0" w:space="0" w:color="auto"/>
        <w:left w:val="none" w:sz="0" w:space="0" w:color="auto"/>
        <w:bottom w:val="none" w:sz="0" w:space="0" w:color="auto"/>
        <w:right w:val="none" w:sz="0" w:space="0" w:color="auto"/>
      </w:divBdr>
    </w:div>
    <w:div w:id="1745451374">
      <w:bodyDiv w:val="1"/>
      <w:marLeft w:val="0"/>
      <w:marRight w:val="0"/>
      <w:marTop w:val="0"/>
      <w:marBottom w:val="0"/>
      <w:divBdr>
        <w:top w:val="none" w:sz="0" w:space="0" w:color="auto"/>
        <w:left w:val="none" w:sz="0" w:space="0" w:color="auto"/>
        <w:bottom w:val="none" w:sz="0" w:space="0" w:color="auto"/>
        <w:right w:val="none" w:sz="0" w:space="0" w:color="auto"/>
      </w:divBdr>
    </w:div>
    <w:div w:id="1777558786">
      <w:bodyDiv w:val="1"/>
      <w:marLeft w:val="0"/>
      <w:marRight w:val="0"/>
      <w:marTop w:val="0"/>
      <w:marBottom w:val="0"/>
      <w:divBdr>
        <w:top w:val="none" w:sz="0" w:space="0" w:color="auto"/>
        <w:left w:val="none" w:sz="0" w:space="0" w:color="auto"/>
        <w:bottom w:val="none" w:sz="0" w:space="0" w:color="auto"/>
        <w:right w:val="none" w:sz="0" w:space="0" w:color="auto"/>
      </w:divBdr>
    </w:div>
    <w:div w:id="1834878703">
      <w:bodyDiv w:val="1"/>
      <w:marLeft w:val="0"/>
      <w:marRight w:val="0"/>
      <w:marTop w:val="0"/>
      <w:marBottom w:val="0"/>
      <w:divBdr>
        <w:top w:val="none" w:sz="0" w:space="0" w:color="auto"/>
        <w:left w:val="none" w:sz="0" w:space="0" w:color="auto"/>
        <w:bottom w:val="none" w:sz="0" w:space="0" w:color="auto"/>
        <w:right w:val="none" w:sz="0" w:space="0" w:color="auto"/>
      </w:divBdr>
    </w:div>
    <w:div w:id="1855538418">
      <w:bodyDiv w:val="1"/>
      <w:marLeft w:val="0"/>
      <w:marRight w:val="0"/>
      <w:marTop w:val="0"/>
      <w:marBottom w:val="0"/>
      <w:divBdr>
        <w:top w:val="none" w:sz="0" w:space="0" w:color="auto"/>
        <w:left w:val="none" w:sz="0" w:space="0" w:color="auto"/>
        <w:bottom w:val="none" w:sz="0" w:space="0" w:color="auto"/>
        <w:right w:val="none" w:sz="0" w:space="0" w:color="auto"/>
      </w:divBdr>
    </w:div>
    <w:div w:id="1956062786">
      <w:bodyDiv w:val="1"/>
      <w:marLeft w:val="0"/>
      <w:marRight w:val="0"/>
      <w:marTop w:val="0"/>
      <w:marBottom w:val="0"/>
      <w:divBdr>
        <w:top w:val="none" w:sz="0" w:space="0" w:color="auto"/>
        <w:left w:val="none" w:sz="0" w:space="0" w:color="auto"/>
        <w:bottom w:val="none" w:sz="0" w:space="0" w:color="auto"/>
        <w:right w:val="none" w:sz="0" w:space="0" w:color="auto"/>
      </w:divBdr>
    </w:div>
    <w:div w:id="1962030164">
      <w:bodyDiv w:val="1"/>
      <w:marLeft w:val="0"/>
      <w:marRight w:val="0"/>
      <w:marTop w:val="0"/>
      <w:marBottom w:val="0"/>
      <w:divBdr>
        <w:top w:val="none" w:sz="0" w:space="0" w:color="auto"/>
        <w:left w:val="none" w:sz="0" w:space="0" w:color="auto"/>
        <w:bottom w:val="none" w:sz="0" w:space="0" w:color="auto"/>
        <w:right w:val="none" w:sz="0" w:space="0" w:color="auto"/>
      </w:divBdr>
    </w:div>
    <w:div w:id="2013559415">
      <w:bodyDiv w:val="1"/>
      <w:marLeft w:val="0"/>
      <w:marRight w:val="0"/>
      <w:marTop w:val="0"/>
      <w:marBottom w:val="0"/>
      <w:divBdr>
        <w:top w:val="none" w:sz="0" w:space="0" w:color="auto"/>
        <w:left w:val="none" w:sz="0" w:space="0" w:color="auto"/>
        <w:bottom w:val="none" w:sz="0" w:space="0" w:color="auto"/>
        <w:right w:val="none" w:sz="0" w:space="0" w:color="auto"/>
      </w:divBdr>
    </w:div>
    <w:div w:id="2045708622">
      <w:bodyDiv w:val="1"/>
      <w:marLeft w:val="0"/>
      <w:marRight w:val="0"/>
      <w:marTop w:val="0"/>
      <w:marBottom w:val="0"/>
      <w:divBdr>
        <w:top w:val="none" w:sz="0" w:space="0" w:color="auto"/>
        <w:left w:val="none" w:sz="0" w:space="0" w:color="auto"/>
        <w:bottom w:val="none" w:sz="0" w:space="0" w:color="auto"/>
        <w:right w:val="none" w:sz="0" w:space="0" w:color="auto"/>
      </w:divBdr>
    </w:div>
    <w:div w:id="2097168051">
      <w:bodyDiv w:val="1"/>
      <w:marLeft w:val="0"/>
      <w:marRight w:val="0"/>
      <w:marTop w:val="0"/>
      <w:marBottom w:val="0"/>
      <w:divBdr>
        <w:top w:val="none" w:sz="0" w:space="0" w:color="auto"/>
        <w:left w:val="none" w:sz="0" w:space="0" w:color="auto"/>
        <w:bottom w:val="none" w:sz="0" w:space="0" w:color="auto"/>
        <w:right w:val="none" w:sz="0" w:space="0" w:color="auto"/>
      </w:divBdr>
    </w:div>
    <w:div w:id="21034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go.hr" TargetMode="External"/><Relationship Id="rId4" Type="http://schemas.openxmlformats.org/officeDocument/2006/relationships/settings" Target="settings.xml"/><Relationship Id="rId9" Type="http://schemas.openxmlformats.org/officeDocument/2006/relationships/hyperlink" Target="http://www.sberbank.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6DC1-AB70-4F1D-B017-13FFACE8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3228</Words>
  <Characters>18406</Characters>
  <Application>Microsoft Office Word</Application>
  <DocSecurity>0</DocSecurity>
  <Lines>153</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Sberbank</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Babčec</cp:lastModifiedBy>
  <cp:revision>2</cp:revision>
  <cp:lastPrinted>2019-01-22T14:44:00Z</cp:lastPrinted>
  <dcterms:created xsi:type="dcterms:W3CDTF">2021-11-05T09:15:00Z</dcterms:created>
  <dcterms:modified xsi:type="dcterms:W3CDTF">2021-11-05T09:15:00Z</dcterms:modified>
</cp:coreProperties>
</file>